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1D3B76" w14:textId="77777777" w:rsidR="003650E1" w:rsidRDefault="005D1523">
      <w:pPr>
        <w:pStyle w:val="CRCoverPage"/>
        <w:tabs>
          <w:tab w:val="right" w:pos="9639"/>
        </w:tabs>
        <w:snapToGrid w:val="0"/>
        <w:spacing w:after="0"/>
        <w:rPr>
          <w:b/>
          <w:sz w:val="24"/>
          <w:szCs w:val="22"/>
        </w:rPr>
      </w:pPr>
      <w:r>
        <w:rPr>
          <w:b/>
          <w:sz w:val="24"/>
        </w:rPr>
        <w:t>3GPP TSG RAN Meeting #86</w:t>
      </w:r>
      <w:r>
        <w:rPr>
          <w:b/>
          <w:sz w:val="24"/>
        </w:rPr>
        <w:tab/>
        <w:t xml:space="preserve"> </w:t>
      </w:r>
      <w:r>
        <w:rPr>
          <w:b/>
          <w:sz w:val="24"/>
          <w:szCs w:val="22"/>
          <w:lang w:val="en-US"/>
        </w:rPr>
        <w:t>RP-192568</w:t>
      </w:r>
    </w:p>
    <w:p w14:paraId="1F7F2112" w14:textId="77777777" w:rsidR="003650E1" w:rsidRDefault="005D1523">
      <w:pPr>
        <w:snapToGrid w:val="0"/>
        <w:rPr>
          <w:rFonts w:ascii="Arial" w:eastAsia="MS Mincho" w:hAnsi="Arial"/>
          <w:b/>
          <w:kern w:val="0"/>
          <w:sz w:val="24"/>
          <w:szCs w:val="22"/>
          <w:lang w:val="en-GB" w:eastAsia="en-US"/>
        </w:rPr>
      </w:pPr>
      <w:r>
        <w:rPr>
          <w:rFonts w:ascii="Arial" w:eastAsia="MS Mincho" w:hAnsi="Arial"/>
          <w:b/>
          <w:kern w:val="0"/>
          <w:sz w:val="24"/>
          <w:szCs w:val="22"/>
          <w:lang w:val="en-GB" w:eastAsia="en-US"/>
        </w:rPr>
        <w:t>Sitges, Spain, December 9</w:t>
      </w:r>
      <w:r>
        <w:rPr>
          <w:rFonts w:ascii="Arial" w:eastAsia="MS Mincho" w:hAnsi="Arial"/>
          <w:b/>
          <w:kern w:val="0"/>
          <w:sz w:val="24"/>
          <w:szCs w:val="22"/>
          <w:vertAlign w:val="superscript"/>
          <w:lang w:val="en-GB" w:eastAsia="en-US"/>
        </w:rPr>
        <w:t>th</w:t>
      </w:r>
      <w:r>
        <w:rPr>
          <w:rFonts w:ascii="Arial" w:eastAsia="MS Mincho" w:hAnsi="Arial"/>
          <w:b/>
          <w:kern w:val="0"/>
          <w:sz w:val="24"/>
          <w:szCs w:val="22"/>
          <w:lang w:val="en-GB" w:eastAsia="en-US"/>
        </w:rPr>
        <w:t xml:space="preserve"> – 12</w:t>
      </w:r>
      <w:r>
        <w:rPr>
          <w:rFonts w:ascii="Arial" w:eastAsia="MS Mincho" w:hAnsi="Arial"/>
          <w:b/>
          <w:kern w:val="0"/>
          <w:sz w:val="24"/>
          <w:szCs w:val="22"/>
          <w:vertAlign w:val="superscript"/>
          <w:lang w:val="en-GB" w:eastAsia="en-US"/>
        </w:rPr>
        <w:t>th</w:t>
      </w:r>
      <w:r>
        <w:rPr>
          <w:rFonts w:ascii="Arial" w:eastAsia="MS Mincho" w:hAnsi="Arial"/>
          <w:b/>
          <w:kern w:val="0"/>
          <w:sz w:val="24"/>
          <w:szCs w:val="22"/>
          <w:lang w:val="en-GB" w:eastAsia="en-US"/>
        </w:rPr>
        <w:t>, 2019</w:t>
      </w:r>
    </w:p>
    <w:p w14:paraId="6B24651C" w14:textId="77777777" w:rsidR="003650E1" w:rsidRDefault="003650E1">
      <w:pPr>
        <w:snapToGrid w:val="0"/>
        <w:ind w:left="1985" w:hanging="1985"/>
        <w:rPr>
          <w:rFonts w:ascii="Arial" w:hAnsi="Arial" w:cs="Arial"/>
          <w:b/>
          <w:bCs/>
          <w:sz w:val="24"/>
        </w:rPr>
      </w:pPr>
    </w:p>
    <w:p w14:paraId="6E47DE80" w14:textId="77777777" w:rsidR="003650E1" w:rsidRDefault="005D1523">
      <w:pPr>
        <w:snapToGrid w:val="0"/>
        <w:ind w:left="1985" w:hanging="1985"/>
        <w:rPr>
          <w:rFonts w:ascii="Arial" w:hAnsi="Arial" w:cs="Arial"/>
          <w:b/>
          <w:bCs/>
          <w:sz w:val="24"/>
        </w:rPr>
      </w:pPr>
      <w:r>
        <w:rPr>
          <w:rFonts w:ascii="Arial" w:hAnsi="Arial" w:cs="Arial"/>
          <w:b/>
          <w:bCs/>
          <w:sz w:val="24"/>
        </w:rPr>
        <w:t>Source:</w:t>
      </w:r>
      <w:r>
        <w:rPr>
          <w:rFonts w:ascii="Arial" w:hAnsi="Arial" w:cs="Arial"/>
          <w:b/>
          <w:bCs/>
          <w:sz w:val="24"/>
        </w:rPr>
        <w:tab/>
        <w:t>ZTE</w:t>
      </w:r>
      <w:r>
        <w:rPr>
          <w:rFonts w:ascii="Arial" w:hAnsi="Arial" w:cs="Arial"/>
          <w:b/>
          <w:bCs/>
          <w:sz w:val="24"/>
        </w:rPr>
        <w:t>, Sanechips</w:t>
      </w:r>
    </w:p>
    <w:p w14:paraId="562FD41A" w14:textId="77777777" w:rsidR="003650E1" w:rsidRDefault="005D1523">
      <w:pPr>
        <w:snapToGrid w:val="0"/>
        <w:ind w:left="1985" w:hanging="1985"/>
        <w:rPr>
          <w:rFonts w:ascii="Arial" w:hAnsi="Arial" w:cs="Arial"/>
          <w:b/>
          <w:bCs/>
          <w:sz w:val="24"/>
        </w:rPr>
      </w:pPr>
      <w:r>
        <w:rPr>
          <w:rFonts w:ascii="Arial" w:hAnsi="Arial" w:cs="Arial"/>
          <w:b/>
          <w:bCs/>
          <w:sz w:val="24"/>
        </w:rPr>
        <w:t xml:space="preserve">Title:            </w:t>
      </w:r>
      <w:r>
        <w:rPr>
          <w:rFonts w:ascii="Arial" w:hAnsi="Arial" w:cs="Arial"/>
          <w:b/>
          <w:bCs/>
          <w:sz w:val="24"/>
        </w:rPr>
        <w:t>Discussion on NR Light for Rel-17</w:t>
      </w:r>
    </w:p>
    <w:p w14:paraId="03E8D02D" w14:textId="77777777" w:rsidR="003650E1" w:rsidRDefault="005D1523">
      <w:pPr>
        <w:snapToGrid w:val="0"/>
        <w:ind w:left="1985" w:hanging="1985"/>
        <w:rPr>
          <w:rFonts w:cs="Arial"/>
          <w:b/>
          <w:bCs/>
          <w:sz w:val="24"/>
        </w:rPr>
      </w:pPr>
      <w:r>
        <w:rPr>
          <w:rFonts w:ascii="Arial" w:hAnsi="Arial" w:cs="Arial"/>
          <w:b/>
          <w:bCs/>
          <w:sz w:val="24"/>
        </w:rPr>
        <w:t>Agenda item:</w:t>
      </w:r>
      <w:r>
        <w:rPr>
          <w:rFonts w:ascii="Arial" w:hAnsi="Arial" w:cs="Arial"/>
          <w:b/>
          <w:bCs/>
          <w:sz w:val="24"/>
        </w:rPr>
        <w:tab/>
        <w:t>9.1.1</w:t>
      </w:r>
    </w:p>
    <w:p w14:paraId="158702F3" w14:textId="77777777" w:rsidR="003650E1" w:rsidRDefault="005D1523">
      <w:pPr>
        <w:pStyle w:val="CRCoverPage"/>
        <w:snapToGrid w:val="0"/>
        <w:rPr>
          <w:rFonts w:cs="Arial"/>
          <w:b/>
          <w:bCs/>
          <w:sz w:val="24"/>
          <w:lang w:val="en-US"/>
        </w:rPr>
      </w:pPr>
      <w:r>
        <w:rPr>
          <w:rFonts w:cs="Arial"/>
          <w:b/>
          <w:bCs/>
          <w:sz w:val="24"/>
        </w:rPr>
        <w:t>Document for:</w:t>
      </w:r>
      <w:r>
        <w:rPr>
          <w:rFonts w:cs="Arial"/>
          <w:b/>
          <w:bCs/>
          <w:sz w:val="24"/>
        </w:rPr>
        <w:tab/>
      </w:r>
      <w:r>
        <w:rPr>
          <w:rFonts w:cs="Arial"/>
          <w:b/>
          <w:bCs/>
          <w:sz w:val="24"/>
          <w:lang w:val="en-US" w:eastAsia="zh-CN"/>
        </w:rPr>
        <w:t xml:space="preserve">  </w:t>
      </w:r>
      <w:r>
        <w:rPr>
          <w:rFonts w:cs="Arial" w:hint="eastAsia"/>
          <w:b/>
          <w:bCs/>
          <w:sz w:val="24"/>
          <w:lang w:val="en-US" w:eastAsia="zh-CN"/>
        </w:rPr>
        <w:t xml:space="preserve"> </w:t>
      </w:r>
      <w:r>
        <w:rPr>
          <w:rFonts w:cs="Arial"/>
          <w:b/>
          <w:bCs/>
          <w:sz w:val="24"/>
          <w:lang w:val="en-US" w:eastAsia="zh-CN"/>
        </w:rPr>
        <w:t>Discussion</w:t>
      </w:r>
    </w:p>
    <w:p w14:paraId="7788EB62" w14:textId="77777777" w:rsidR="003650E1" w:rsidRDefault="005D1523">
      <w:pPr>
        <w:pStyle w:val="1"/>
        <w:numPr>
          <w:ilvl w:val="0"/>
          <w:numId w:val="0"/>
        </w:numPr>
        <w:snapToGrid w:val="0"/>
        <w:rPr>
          <w:rFonts w:ascii="Arial" w:hAnsi="Arial" w:cs="Arial"/>
          <w:sz w:val="32"/>
          <w:szCs w:val="32"/>
        </w:rPr>
      </w:pPr>
      <w:r>
        <w:rPr>
          <w:rFonts w:ascii="Arial" w:eastAsia="宋体" w:hAnsi="Arial" w:cs="Arial"/>
          <w:sz w:val="32"/>
          <w:szCs w:val="40"/>
        </w:rPr>
        <w:t>1 Introduction</w:t>
      </w:r>
    </w:p>
    <w:p w14:paraId="5ABAF6E7" w14:textId="60B3A0D5" w:rsidR="003650E1" w:rsidRDefault="005D1523">
      <w:pPr>
        <w:snapToGrid w:val="0"/>
        <w:spacing w:beforeLines="50" w:before="156" w:afterLines="50" w:after="156" w:line="276" w:lineRule="auto"/>
        <w:rPr>
          <w:sz w:val="20"/>
          <w:szCs w:val="20"/>
        </w:rPr>
      </w:pPr>
      <w:r>
        <w:rPr>
          <w:rFonts w:eastAsia="MS Mincho"/>
          <w:sz w:val="20"/>
          <w:szCs w:val="20"/>
          <w:lang w:eastAsia="ja-JP"/>
        </w:rPr>
        <w:t xml:space="preserve">In RAN #84, NR Light was considered as one </w:t>
      </w:r>
      <w:r w:rsidR="002F23E1">
        <w:rPr>
          <w:rFonts w:eastAsia="MS Mincho"/>
          <w:sz w:val="20"/>
          <w:szCs w:val="20"/>
          <w:lang w:eastAsia="ja-JP"/>
        </w:rPr>
        <w:t xml:space="preserve">of the </w:t>
      </w:r>
      <w:r>
        <w:rPr>
          <w:rFonts w:eastAsia="MS Mincho"/>
          <w:sz w:val="20"/>
          <w:szCs w:val="20"/>
          <w:lang w:eastAsia="ja-JP"/>
        </w:rPr>
        <w:t>potential work area</w:t>
      </w:r>
      <w:r w:rsidR="002F23E1">
        <w:rPr>
          <w:rFonts w:eastAsia="MS Mincho"/>
          <w:sz w:val="20"/>
          <w:szCs w:val="20"/>
          <w:lang w:eastAsia="ja-JP"/>
        </w:rPr>
        <w:t>s</w:t>
      </w:r>
      <w:r>
        <w:rPr>
          <w:rFonts w:eastAsia="MS Mincho"/>
          <w:sz w:val="20"/>
          <w:szCs w:val="20"/>
          <w:lang w:eastAsia="ja-JP"/>
        </w:rPr>
        <w:t xml:space="preserve"> for Rel-17 </w:t>
      </w:r>
      <w:r>
        <w:rPr>
          <w:sz w:val="20"/>
          <w:szCs w:val="20"/>
        </w:rPr>
        <w:t>and two phases of email discussion have been completed. In phase 1 email discussion, three main use cases were highlighted by many companies</w:t>
      </w:r>
      <w:r w:rsidR="00AA4053">
        <w:rPr>
          <w:sz w:val="20"/>
          <w:szCs w:val="20"/>
        </w:rPr>
        <w:t xml:space="preserve"> </w:t>
      </w:r>
      <w:r w:rsidR="002F23E1">
        <w:rPr>
          <w:sz w:val="20"/>
          <w:szCs w:val="20"/>
        </w:rPr>
        <w:t>[1]</w:t>
      </w:r>
      <w:r>
        <w:rPr>
          <w:sz w:val="20"/>
          <w:szCs w:val="20"/>
        </w:rPr>
        <w:t>. Based on these use cases, i.e. indus</w:t>
      </w:r>
      <w:r>
        <w:rPr>
          <w:sz w:val="20"/>
          <w:szCs w:val="20"/>
        </w:rPr>
        <w:t xml:space="preserve">trial wireless sensors, surveillance camera and wearables, many requirements and evolution areas such as UE complexity reduction, power saving dedicated for NR Light devices have been proposed. In phase 2 email discussion, a draft WID is provided and some </w:t>
      </w:r>
      <w:r>
        <w:rPr>
          <w:sz w:val="20"/>
          <w:szCs w:val="20"/>
        </w:rPr>
        <w:t xml:space="preserve">issues are further discussed. </w:t>
      </w:r>
    </w:p>
    <w:p w14:paraId="519ECFC3" w14:textId="77777777" w:rsidR="003650E1" w:rsidRDefault="005D1523">
      <w:pPr>
        <w:snapToGrid w:val="0"/>
        <w:spacing w:beforeLines="50" w:before="156" w:afterLines="50" w:after="156" w:line="276" w:lineRule="auto"/>
        <w:rPr>
          <w:sz w:val="20"/>
          <w:szCs w:val="20"/>
        </w:rPr>
      </w:pPr>
      <w:r>
        <w:rPr>
          <w:rFonts w:eastAsiaTheme="minorEastAsia"/>
          <w:sz w:val="20"/>
          <w:szCs w:val="20"/>
        </w:rPr>
        <w:t xml:space="preserve">In this contribution, we provide our views on </w:t>
      </w:r>
      <w:r w:rsidR="002F23E1">
        <w:rPr>
          <w:rFonts w:eastAsiaTheme="minorEastAsia"/>
          <w:sz w:val="20"/>
          <w:szCs w:val="20"/>
        </w:rPr>
        <w:t xml:space="preserve">the </w:t>
      </w:r>
      <w:r>
        <w:rPr>
          <w:rFonts w:eastAsiaTheme="minorEastAsia"/>
          <w:sz w:val="20"/>
          <w:szCs w:val="20"/>
        </w:rPr>
        <w:t>scope of NR light.</w:t>
      </w:r>
    </w:p>
    <w:p w14:paraId="54954F7E" w14:textId="77777777" w:rsidR="003650E1" w:rsidRDefault="005D1523">
      <w:pPr>
        <w:snapToGrid w:val="0"/>
        <w:spacing w:before="240" w:after="180"/>
        <w:outlineLvl w:val="0"/>
        <w:rPr>
          <w:rFonts w:ascii="Arial" w:hAnsi="Arial" w:cs="Arial"/>
          <w:szCs w:val="21"/>
        </w:rPr>
      </w:pPr>
      <w:r>
        <w:rPr>
          <w:rFonts w:ascii="Arial" w:hAnsi="Arial" w:cs="Arial"/>
          <w:sz w:val="32"/>
          <w:szCs w:val="40"/>
        </w:rPr>
        <w:t>2 Discussion</w:t>
      </w:r>
    </w:p>
    <w:p w14:paraId="7F1784F0" w14:textId="77777777" w:rsidR="003650E1" w:rsidRDefault="005D1523">
      <w:pPr>
        <w:snapToGrid w:val="0"/>
        <w:spacing w:before="120" w:after="60"/>
        <w:outlineLvl w:val="1"/>
        <w:rPr>
          <w:rFonts w:ascii="Arial" w:hAnsi="Arial" w:cs="Arial"/>
          <w:sz w:val="28"/>
          <w:szCs w:val="28"/>
        </w:rPr>
      </w:pPr>
      <w:r>
        <w:rPr>
          <w:rFonts w:ascii="Arial" w:hAnsi="Arial" w:cs="Arial"/>
          <w:sz w:val="28"/>
          <w:szCs w:val="28"/>
        </w:rPr>
        <w:t>2.1 Complexity reduction</w:t>
      </w:r>
    </w:p>
    <w:p w14:paraId="4453E82B" w14:textId="33F259AD" w:rsidR="003650E1" w:rsidRDefault="005D1523">
      <w:pPr>
        <w:snapToGrid w:val="0"/>
        <w:spacing w:beforeLines="50" w:before="156" w:afterLines="50" w:after="156" w:line="276" w:lineRule="auto"/>
        <w:rPr>
          <w:sz w:val="20"/>
          <w:szCs w:val="20"/>
        </w:rPr>
      </w:pPr>
      <w:r>
        <w:rPr>
          <w:sz w:val="20"/>
          <w:szCs w:val="20"/>
        </w:rPr>
        <w:t>For complexity reduction of NR Light devices, many methods are proposed such as reducing number of UE RX/TX antennas, band</w:t>
      </w:r>
      <w:r>
        <w:rPr>
          <w:sz w:val="20"/>
          <w:szCs w:val="20"/>
        </w:rPr>
        <w:t xml:space="preserve">width reduction, relaxing UE processing time or capability. However, the performance loss caused by these proposed solutions is not clear. </w:t>
      </w:r>
      <w:r w:rsidR="002F23E1">
        <w:rPr>
          <w:sz w:val="20"/>
          <w:szCs w:val="20"/>
        </w:rPr>
        <w:t xml:space="preserve">In addition, how much cost/complexity can be reduced is also unclear.  </w:t>
      </w:r>
      <w:r>
        <w:rPr>
          <w:sz w:val="20"/>
          <w:szCs w:val="20"/>
        </w:rPr>
        <w:t>In our view, all these objectives need to be studied and evaluated to identify a tradeoff between potential performan</w:t>
      </w:r>
      <w:r>
        <w:rPr>
          <w:sz w:val="20"/>
          <w:szCs w:val="20"/>
        </w:rPr>
        <w:t>ce loss (e.g. coverage loss</w:t>
      </w:r>
      <w:r>
        <w:rPr>
          <w:sz w:val="20"/>
          <w:szCs w:val="20"/>
        </w:rPr>
        <w:t xml:space="preserve">) </w:t>
      </w:r>
      <w:r>
        <w:rPr>
          <w:sz w:val="20"/>
          <w:szCs w:val="20"/>
        </w:rPr>
        <w:t xml:space="preserve">and cost/complexity reduction. In other words, a </w:t>
      </w:r>
      <w:r>
        <w:rPr>
          <w:sz w:val="20"/>
          <w:szCs w:val="20"/>
        </w:rPr>
        <w:t>study phase</w:t>
      </w:r>
      <w:r>
        <w:rPr>
          <w:sz w:val="20"/>
          <w:szCs w:val="20"/>
        </w:rPr>
        <w:t xml:space="preserve"> should be needed before a WI for NR Light. Based on the evaluation in </w:t>
      </w:r>
      <w:r>
        <w:rPr>
          <w:rFonts w:hint="eastAsia"/>
          <w:sz w:val="20"/>
          <w:szCs w:val="20"/>
        </w:rPr>
        <w:t>study phase</w:t>
      </w:r>
      <w:r>
        <w:rPr>
          <w:sz w:val="20"/>
          <w:szCs w:val="20"/>
        </w:rPr>
        <w:t xml:space="preserve">, we can determine which methods can be used as standardization </w:t>
      </w:r>
      <w:r w:rsidR="002F23E1">
        <w:rPr>
          <w:sz w:val="20"/>
          <w:szCs w:val="20"/>
        </w:rPr>
        <w:t>techn</w:t>
      </w:r>
      <w:r w:rsidR="002F23E1">
        <w:rPr>
          <w:sz w:val="20"/>
          <w:szCs w:val="20"/>
        </w:rPr>
        <w:t>iques</w:t>
      </w:r>
      <w:r>
        <w:rPr>
          <w:sz w:val="20"/>
          <w:szCs w:val="20"/>
        </w:rPr>
        <w:t>. Besides</w:t>
      </w:r>
      <w:r>
        <w:rPr>
          <w:sz w:val="20"/>
          <w:szCs w:val="20"/>
        </w:rPr>
        <w:t xml:space="preserve">, as many companies mentioned in the email discussion, more studies and evaluations would help to narrow down the scope of the WI. So, </w:t>
      </w:r>
      <w:r>
        <w:rPr>
          <w:rFonts w:hint="eastAsia"/>
          <w:sz w:val="20"/>
          <w:szCs w:val="20"/>
        </w:rPr>
        <w:t>a study phase is needed for Rel-17 NR l</w:t>
      </w:r>
      <w:r>
        <w:rPr>
          <w:sz w:val="20"/>
          <w:szCs w:val="20"/>
        </w:rPr>
        <w:t>ig</w:t>
      </w:r>
      <w:r>
        <w:rPr>
          <w:rFonts w:hint="eastAsia"/>
          <w:sz w:val="20"/>
          <w:szCs w:val="20"/>
        </w:rPr>
        <w:t>ht</w:t>
      </w:r>
      <w:r>
        <w:rPr>
          <w:sz w:val="20"/>
          <w:szCs w:val="20"/>
        </w:rPr>
        <w:t>.</w:t>
      </w:r>
    </w:p>
    <w:p w14:paraId="61FE928F" w14:textId="73670C19" w:rsidR="003650E1" w:rsidRDefault="005D1523">
      <w:pPr>
        <w:snapToGrid w:val="0"/>
        <w:spacing w:beforeLines="50" w:before="156" w:afterLines="50" w:after="156" w:line="276" w:lineRule="auto"/>
        <w:rPr>
          <w:sz w:val="20"/>
          <w:szCs w:val="20"/>
        </w:rPr>
      </w:pPr>
      <w:r>
        <w:rPr>
          <w:sz w:val="20"/>
          <w:szCs w:val="20"/>
        </w:rPr>
        <w:t xml:space="preserve">During study item stage of low cost LTE MTC UEs, </w:t>
      </w:r>
      <w:r w:rsidR="006C346D">
        <w:rPr>
          <w:sz w:val="20"/>
          <w:szCs w:val="20"/>
        </w:rPr>
        <w:t>extensive</w:t>
      </w:r>
      <w:r w:rsidR="002F23E1">
        <w:rPr>
          <w:sz w:val="20"/>
          <w:szCs w:val="20"/>
        </w:rPr>
        <w:t xml:space="preserve"> </w:t>
      </w:r>
      <w:r>
        <w:rPr>
          <w:sz w:val="20"/>
          <w:szCs w:val="20"/>
        </w:rPr>
        <w:t xml:space="preserve">evaluations </w:t>
      </w:r>
      <w:r w:rsidR="002F23E1">
        <w:rPr>
          <w:sz w:val="20"/>
          <w:szCs w:val="20"/>
        </w:rPr>
        <w:t xml:space="preserve">are performed on the aspects </w:t>
      </w:r>
      <w:r>
        <w:rPr>
          <w:sz w:val="20"/>
          <w:szCs w:val="20"/>
        </w:rPr>
        <w:t>includ</w:t>
      </w:r>
      <w:r w:rsidR="002F23E1">
        <w:rPr>
          <w:sz w:val="20"/>
          <w:szCs w:val="20"/>
        </w:rPr>
        <w:t>ing</w:t>
      </w:r>
      <w:r>
        <w:rPr>
          <w:sz w:val="20"/>
          <w:szCs w:val="20"/>
        </w:rPr>
        <w:t xml:space="preserve"> UE cost</w:t>
      </w:r>
      <w:r>
        <w:rPr>
          <w:sz w:val="20"/>
          <w:szCs w:val="20"/>
        </w:rPr>
        <w:t xml:space="preserve"> and complexity, coverage, data rate, spectral efficiency, and power consumption, etc. </w:t>
      </w:r>
      <w:r w:rsidR="002F23E1">
        <w:rPr>
          <w:sz w:val="20"/>
          <w:szCs w:val="20"/>
        </w:rPr>
        <w:t xml:space="preserve"> The evaluation results and cost analysis are captured in TR36.888</w:t>
      </w:r>
      <w:r w:rsidR="004378EC">
        <w:rPr>
          <w:sz w:val="20"/>
          <w:szCs w:val="20"/>
        </w:rPr>
        <w:t xml:space="preserve"> </w:t>
      </w:r>
      <w:r w:rsidR="002F23E1">
        <w:rPr>
          <w:sz w:val="20"/>
          <w:szCs w:val="20"/>
        </w:rPr>
        <w:t xml:space="preserve">[2]. </w:t>
      </w:r>
      <w:r>
        <w:rPr>
          <w:sz w:val="20"/>
          <w:szCs w:val="20"/>
        </w:rPr>
        <w:t>Therefore, NR light evaluation should also include similar evaluation contents. In addition, considering that the NR light UE has higher requirements on latency and data</w:t>
      </w:r>
      <w:r>
        <w:rPr>
          <w:sz w:val="20"/>
          <w:szCs w:val="20"/>
        </w:rPr>
        <w:t xml:space="preserve"> rate than LTE MTC UEs, NR light evaluation also needs to include</w:t>
      </w:r>
      <w:r>
        <w:rPr>
          <w:sz w:val="20"/>
          <w:szCs w:val="20"/>
        </w:rPr>
        <w:t xml:space="preserve"> latency</w:t>
      </w:r>
      <w:r>
        <w:rPr>
          <w:sz w:val="20"/>
          <w:szCs w:val="20"/>
        </w:rPr>
        <w:t>. Besides, reliability, b</w:t>
      </w:r>
      <w:r>
        <w:rPr>
          <w:sz w:val="20"/>
          <w:szCs w:val="20"/>
        </w:rPr>
        <w:t>ackward compatibility and coexistence with wideband UE</w:t>
      </w:r>
      <w:r>
        <w:rPr>
          <w:sz w:val="20"/>
          <w:szCs w:val="20"/>
        </w:rPr>
        <w:t>s also need to be considered.</w:t>
      </w:r>
      <w:r w:rsidR="004378EC">
        <w:rPr>
          <w:sz w:val="20"/>
          <w:szCs w:val="20"/>
        </w:rPr>
        <w:t xml:space="preserve"> In addition, the evaluation and cost analysis on FR2 can be quite different from FR1. Therefore, we cannot just reference to the evaluation results or analysis on LTE MTC UEs. Proper evaluation and careful cost analysis are required for NR Light considering different use cases. </w:t>
      </w:r>
    </w:p>
    <w:p w14:paraId="7E496916" w14:textId="77777777" w:rsidR="003650E1" w:rsidRDefault="005D1523">
      <w:pPr>
        <w:snapToGrid w:val="0"/>
        <w:spacing w:beforeLines="50" w:before="156" w:afterLines="50" w:after="156" w:line="276" w:lineRule="auto"/>
        <w:rPr>
          <w:sz w:val="20"/>
          <w:szCs w:val="20"/>
        </w:rPr>
      </w:pPr>
      <w:r>
        <w:rPr>
          <w:sz w:val="20"/>
          <w:szCs w:val="20"/>
        </w:rPr>
        <w:t xml:space="preserve">For connection density, potential high density of NR Light devices should </w:t>
      </w:r>
      <w:r>
        <w:rPr>
          <w:sz w:val="20"/>
          <w:szCs w:val="20"/>
        </w:rPr>
        <w:t>be considered from the network perspective as this is essential especially for the use case of industrial sensors. In other use cases, high connection density is also a challenge to the network</w:t>
      </w:r>
      <w:r>
        <w:rPr>
          <w:rFonts w:hint="eastAsia"/>
          <w:sz w:val="20"/>
          <w:szCs w:val="20"/>
        </w:rPr>
        <w:t>, e.g.</w:t>
      </w:r>
      <w:r>
        <w:rPr>
          <w:sz w:val="20"/>
          <w:szCs w:val="20"/>
        </w:rPr>
        <w:t xml:space="preserve">, Video Surveillance. For different use cases, different </w:t>
      </w:r>
      <w:r>
        <w:rPr>
          <w:sz w:val="20"/>
          <w:szCs w:val="20"/>
        </w:rPr>
        <w:t xml:space="preserve">requirements of connection density should be studied and identified. </w:t>
      </w:r>
    </w:p>
    <w:p w14:paraId="6BBA009F" w14:textId="79651D88" w:rsidR="00183EEB" w:rsidRDefault="00183EEB">
      <w:pPr>
        <w:snapToGrid w:val="0"/>
        <w:spacing w:beforeLines="50" w:before="156" w:afterLines="50" w:after="156" w:line="276" w:lineRule="auto"/>
        <w:rPr>
          <w:sz w:val="20"/>
          <w:szCs w:val="20"/>
        </w:rPr>
      </w:pPr>
      <w:r>
        <w:rPr>
          <w:sz w:val="20"/>
          <w:szCs w:val="20"/>
        </w:rPr>
        <w:t xml:space="preserve">In addition, it is not desirable to the network if NR Light UEs can freely report different sets of UE capabilities in a very flexible manner. Some kinds of UE types in terms of profiles or UE categories should be defined to map each type of NR Light UEs to a set of requirements for the three NR Light use cases.    </w:t>
      </w:r>
    </w:p>
    <w:p w14:paraId="74E17FD8" w14:textId="77777777" w:rsidR="00183EEB" w:rsidRPr="00183EEB" w:rsidRDefault="00183EEB">
      <w:pPr>
        <w:snapToGrid w:val="0"/>
        <w:spacing w:beforeLines="50" w:before="156" w:afterLines="50" w:after="156" w:line="276" w:lineRule="auto"/>
        <w:rPr>
          <w:sz w:val="20"/>
          <w:szCs w:val="20"/>
        </w:rPr>
      </w:pPr>
    </w:p>
    <w:p w14:paraId="61517BD5" w14:textId="5D99AC70" w:rsidR="003650E1" w:rsidRDefault="005D1523">
      <w:pPr>
        <w:snapToGrid w:val="0"/>
        <w:spacing w:beforeLines="50" w:before="156" w:afterLines="50" w:after="156" w:line="276" w:lineRule="auto"/>
        <w:rPr>
          <w:sz w:val="20"/>
          <w:szCs w:val="20"/>
        </w:rPr>
      </w:pPr>
      <w:r>
        <w:rPr>
          <w:sz w:val="20"/>
          <w:szCs w:val="20"/>
        </w:rPr>
        <w:t>According to the above discussions, we have the following proposal</w:t>
      </w:r>
      <w:r w:rsidR="00FE633D">
        <w:rPr>
          <w:sz w:val="20"/>
          <w:szCs w:val="20"/>
        </w:rPr>
        <w:t>s</w:t>
      </w:r>
      <w:bookmarkStart w:id="0" w:name="_GoBack"/>
      <w:bookmarkEnd w:id="0"/>
      <w:r>
        <w:rPr>
          <w:sz w:val="20"/>
          <w:szCs w:val="20"/>
        </w:rPr>
        <w:t>:</w:t>
      </w:r>
    </w:p>
    <w:p w14:paraId="0E088A8D" w14:textId="77777777" w:rsidR="003650E1" w:rsidRDefault="005D1523">
      <w:pPr>
        <w:snapToGrid w:val="0"/>
        <w:spacing w:beforeLines="50" w:before="156" w:afterLines="50" w:after="156" w:line="276" w:lineRule="auto"/>
        <w:rPr>
          <w:b/>
          <w:bCs/>
          <w:i/>
          <w:iCs/>
          <w:sz w:val="20"/>
          <w:szCs w:val="20"/>
        </w:rPr>
      </w:pPr>
      <w:r>
        <w:rPr>
          <w:b/>
          <w:bCs/>
          <w:i/>
          <w:iCs/>
          <w:sz w:val="20"/>
          <w:szCs w:val="20"/>
        </w:rPr>
        <w:t xml:space="preserve">Proposal 1: A study phase </w:t>
      </w:r>
      <w:r w:rsidR="004378EC">
        <w:rPr>
          <w:b/>
          <w:bCs/>
          <w:i/>
          <w:iCs/>
          <w:sz w:val="20"/>
          <w:szCs w:val="20"/>
        </w:rPr>
        <w:t xml:space="preserve">or SI </w:t>
      </w:r>
      <w:r>
        <w:rPr>
          <w:b/>
          <w:bCs/>
          <w:i/>
          <w:iCs/>
          <w:sz w:val="20"/>
          <w:szCs w:val="20"/>
        </w:rPr>
        <w:t>is needed for Rel-17 NR Light. </w:t>
      </w:r>
    </w:p>
    <w:p w14:paraId="78B7F379" w14:textId="105430F5" w:rsidR="003650E1" w:rsidRDefault="005D1523">
      <w:pPr>
        <w:snapToGrid w:val="0"/>
        <w:spacing w:beforeLines="50" w:before="156" w:afterLines="50" w:after="156" w:line="276" w:lineRule="auto"/>
        <w:rPr>
          <w:b/>
          <w:bCs/>
          <w:i/>
          <w:iCs/>
          <w:sz w:val="20"/>
          <w:szCs w:val="20"/>
        </w:rPr>
      </w:pPr>
      <w:r>
        <w:rPr>
          <w:b/>
          <w:bCs/>
          <w:i/>
          <w:iCs/>
          <w:sz w:val="20"/>
          <w:szCs w:val="20"/>
        </w:rPr>
        <w:lastRenderedPageBreak/>
        <w:t xml:space="preserve">Proposal 2: </w:t>
      </w:r>
      <w:r w:rsidR="005D7F68">
        <w:rPr>
          <w:b/>
          <w:bCs/>
          <w:i/>
          <w:iCs/>
          <w:sz w:val="20"/>
          <w:szCs w:val="20"/>
        </w:rPr>
        <w:t>Add the following objective to the WID to make it clear that cost analysis and evaluation of complexity-performance trade-off are performed.</w:t>
      </w:r>
    </w:p>
    <w:p w14:paraId="44046843" w14:textId="77777777" w:rsidR="005D7F68" w:rsidRPr="005D7F68" w:rsidRDefault="005D7F68" w:rsidP="00E61B83">
      <w:pPr>
        <w:snapToGrid w:val="0"/>
        <w:spacing w:beforeLines="50" w:before="156" w:afterLines="50" w:after="156" w:line="276" w:lineRule="auto"/>
        <w:ind w:leftChars="100" w:left="210"/>
        <w:rPr>
          <w:b/>
          <w:bCs/>
          <w:i/>
          <w:iCs/>
          <w:sz w:val="20"/>
          <w:szCs w:val="20"/>
        </w:rPr>
      </w:pPr>
      <w:r w:rsidRPr="00E61B83">
        <w:rPr>
          <w:b/>
          <w:i/>
          <w:lang w:eastAsia="ja-JP"/>
        </w:rPr>
        <w:t>Study evaluation methodology and assumptions for the use cases of industrial wireless sensors, video surveillance and wearables.  Perform cost analysis and evaluation of complexity-performance trade-off on the UE features identified reduced complexity for these use cases.  Consider at least the following aspects for evaluation:</w:t>
      </w:r>
    </w:p>
    <w:p w14:paraId="78209D31" w14:textId="77777777" w:rsidR="003650E1" w:rsidRDefault="005D1523">
      <w:pPr>
        <w:pStyle w:val="-11"/>
        <w:numPr>
          <w:ilvl w:val="0"/>
          <w:numId w:val="3"/>
        </w:numPr>
        <w:snapToGrid w:val="0"/>
        <w:spacing w:beforeLines="50" w:before="156" w:afterLines="50" w:after="156" w:line="276" w:lineRule="auto"/>
        <w:ind w:left="714" w:right="-96" w:hanging="357"/>
        <w:rPr>
          <w:rFonts w:ascii="Times New Roman" w:hAnsi="Times New Roman"/>
          <w:b/>
          <w:bCs/>
          <w:i/>
          <w:iCs/>
          <w:sz w:val="20"/>
          <w:szCs w:val="20"/>
        </w:rPr>
      </w:pPr>
      <w:r>
        <w:rPr>
          <w:rFonts w:ascii="Times New Roman" w:hAnsi="Times New Roman"/>
          <w:b/>
          <w:bCs/>
          <w:i/>
          <w:iCs/>
          <w:sz w:val="20"/>
          <w:szCs w:val="20"/>
        </w:rPr>
        <w:t xml:space="preserve">UE cost and complexity </w:t>
      </w:r>
    </w:p>
    <w:p w14:paraId="163B4C40" w14:textId="77777777" w:rsidR="003650E1" w:rsidRDefault="005D1523">
      <w:pPr>
        <w:pStyle w:val="-11"/>
        <w:numPr>
          <w:ilvl w:val="0"/>
          <w:numId w:val="3"/>
        </w:numPr>
        <w:snapToGrid w:val="0"/>
        <w:spacing w:beforeLines="50" w:before="156" w:afterLines="50" w:after="156" w:line="276" w:lineRule="auto"/>
        <w:ind w:right="-99"/>
        <w:rPr>
          <w:rFonts w:ascii="Times New Roman" w:hAnsi="Times New Roman"/>
          <w:b/>
          <w:bCs/>
          <w:i/>
          <w:iCs/>
          <w:sz w:val="20"/>
          <w:szCs w:val="20"/>
        </w:rPr>
      </w:pPr>
      <w:r>
        <w:rPr>
          <w:rFonts w:ascii="Times New Roman" w:hAnsi="Times New Roman"/>
          <w:b/>
          <w:bCs/>
          <w:i/>
          <w:iCs/>
          <w:sz w:val="20"/>
          <w:szCs w:val="20"/>
        </w:rPr>
        <w:t>Coverage</w:t>
      </w:r>
    </w:p>
    <w:p w14:paraId="7BE8F901" w14:textId="77777777" w:rsidR="003650E1" w:rsidRDefault="005D1523">
      <w:pPr>
        <w:pStyle w:val="-11"/>
        <w:numPr>
          <w:ilvl w:val="0"/>
          <w:numId w:val="3"/>
        </w:numPr>
        <w:snapToGrid w:val="0"/>
        <w:spacing w:beforeLines="50" w:before="156" w:afterLines="50" w:after="156" w:line="276" w:lineRule="auto"/>
        <w:ind w:right="-99"/>
        <w:rPr>
          <w:rFonts w:ascii="Times New Roman" w:hAnsi="Times New Roman"/>
          <w:b/>
          <w:bCs/>
          <w:i/>
          <w:iCs/>
          <w:sz w:val="20"/>
          <w:szCs w:val="20"/>
        </w:rPr>
      </w:pPr>
      <w:r>
        <w:rPr>
          <w:rFonts w:ascii="Times New Roman" w:hAnsi="Times New Roman"/>
          <w:b/>
          <w:bCs/>
          <w:i/>
          <w:iCs/>
          <w:sz w:val="20"/>
          <w:szCs w:val="20"/>
        </w:rPr>
        <w:t>Spectral efficiency</w:t>
      </w:r>
    </w:p>
    <w:p w14:paraId="33A59FB0" w14:textId="77777777" w:rsidR="003650E1" w:rsidRDefault="005D1523">
      <w:pPr>
        <w:pStyle w:val="-11"/>
        <w:numPr>
          <w:ilvl w:val="0"/>
          <w:numId w:val="3"/>
        </w:numPr>
        <w:snapToGrid w:val="0"/>
        <w:spacing w:beforeLines="50" w:before="156" w:afterLines="50" w:after="156" w:line="276" w:lineRule="auto"/>
        <w:ind w:right="-99"/>
        <w:rPr>
          <w:rFonts w:ascii="Times New Roman" w:hAnsi="Times New Roman"/>
          <w:b/>
          <w:bCs/>
          <w:i/>
          <w:iCs/>
          <w:sz w:val="20"/>
          <w:szCs w:val="20"/>
        </w:rPr>
      </w:pPr>
      <w:r>
        <w:rPr>
          <w:rFonts w:ascii="Times New Roman" w:hAnsi="Times New Roman"/>
          <w:b/>
          <w:bCs/>
          <w:i/>
          <w:iCs/>
          <w:sz w:val="20"/>
          <w:szCs w:val="20"/>
        </w:rPr>
        <w:t>Power consumption</w:t>
      </w:r>
    </w:p>
    <w:p w14:paraId="73EBF462" w14:textId="77777777" w:rsidR="003650E1" w:rsidRDefault="005D1523">
      <w:pPr>
        <w:pStyle w:val="-11"/>
        <w:numPr>
          <w:ilvl w:val="0"/>
          <w:numId w:val="3"/>
        </w:numPr>
        <w:snapToGrid w:val="0"/>
        <w:spacing w:beforeLines="50" w:before="156" w:afterLines="50" w:after="156" w:line="276" w:lineRule="auto"/>
        <w:ind w:right="-99"/>
        <w:rPr>
          <w:rFonts w:ascii="Times New Roman" w:hAnsi="Times New Roman"/>
          <w:b/>
          <w:bCs/>
          <w:i/>
          <w:iCs/>
          <w:sz w:val="20"/>
          <w:szCs w:val="20"/>
        </w:rPr>
      </w:pPr>
      <w:r>
        <w:rPr>
          <w:rFonts w:ascii="Times New Roman" w:hAnsi="Times New Roman"/>
          <w:b/>
          <w:bCs/>
          <w:i/>
          <w:iCs/>
          <w:sz w:val="20"/>
          <w:szCs w:val="20"/>
        </w:rPr>
        <w:t>Reliability and latency</w:t>
      </w:r>
    </w:p>
    <w:p w14:paraId="3E0B3E73" w14:textId="77777777" w:rsidR="003650E1" w:rsidRDefault="005D1523">
      <w:pPr>
        <w:pStyle w:val="-11"/>
        <w:numPr>
          <w:ilvl w:val="0"/>
          <w:numId w:val="3"/>
        </w:numPr>
        <w:snapToGrid w:val="0"/>
        <w:spacing w:beforeLines="50" w:before="156" w:afterLines="50" w:after="156" w:line="276" w:lineRule="auto"/>
        <w:rPr>
          <w:rFonts w:ascii="Times New Roman" w:hAnsi="Times New Roman"/>
          <w:b/>
          <w:bCs/>
          <w:i/>
          <w:iCs/>
          <w:sz w:val="20"/>
          <w:szCs w:val="20"/>
        </w:rPr>
      </w:pPr>
      <w:r>
        <w:rPr>
          <w:rFonts w:ascii="Times New Roman" w:hAnsi="Times New Roman"/>
          <w:b/>
          <w:bCs/>
          <w:i/>
          <w:iCs/>
          <w:sz w:val="20"/>
          <w:szCs w:val="20"/>
        </w:rPr>
        <w:t xml:space="preserve">Backward compatibility and coexistence with wideband UE </w:t>
      </w:r>
    </w:p>
    <w:p w14:paraId="4B630482" w14:textId="4C04F2C0" w:rsidR="00183EEB" w:rsidRPr="00E61B83" w:rsidRDefault="005D1523" w:rsidP="00183EEB">
      <w:pPr>
        <w:pStyle w:val="-11"/>
        <w:numPr>
          <w:ilvl w:val="0"/>
          <w:numId w:val="3"/>
        </w:numPr>
        <w:snapToGrid w:val="0"/>
        <w:spacing w:beforeLines="50" w:before="156" w:afterLines="100" w:after="312" w:line="276" w:lineRule="auto"/>
        <w:rPr>
          <w:b/>
          <w:bCs/>
          <w:i/>
          <w:iCs/>
          <w:sz w:val="20"/>
          <w:szCs w:val="20"/>
          <w:lang w:eastAsia="zh-CN"/>
        </w:rPr>
      </w:pPr>
      <w:r>
        <w:rPr>
          <w:rFonts w:ascii="Times New Roman" w:hAnsi="Times New Roman"/>
          <w:b/>
          <w:bCs/>
          <w:i/>
          <w:iCs/>
          <w:sz w:val="20"/>
          <w:szCs w:val="20"/>
        </w:rPr>
        <w:t>Support of high UE density</w:t>
      </w:r>
    </w:p>
    <w:p w14:paraId="7220563F" w14:textId="7D145A61" w:rsidR="00183EEB" w:rsidRPr="00E61B83" w:rsidRDefault="00183EEB" w:rsidP="00E61B83">
      <w:pPr>
        <w:ind w:right="-99"/>
        <w:rPr>
          <w:rFonts w:hint="eastAsia"/>
          <w:b/>
          <w:i/>
          <w:lang w:eastAsia="ja-JP"/>
        </w:rPr>
      </w:pPr>
      <w:r>
        <w:rPr>
          <w:b/>
          <w:bCs/>
          <w:i/>
          <w:iCs/>
          <w:sz w:val="20"/>
          <w:szCs w:val="20"/>
        </w:rPr>
        <w:t xml:space="preserve">Proposal 3: </w:t>
      </w:r>
      <w:r w:rsidRPr="00E61B83">
        <w:rPr>
          <w:b/>
          <w:i/>
          <w:lang w:eastAsia="ja-JP"/>
        </w:rPr>
        <w:t xml:space="preserve">Study UE categories/types/profiles and the corresponding requirements for different use cases of NR Light. </w:t>
      </w:r>
    </w:p>
    <w:p w14:paraId="31EC4C85" w14:textId="77777777" w:rsidR="003650E1" w:rsidRDefault="005D1523">
      <w:pPr>
        <w:snapToGrid w:val="0"/>
        <w:spacing w:before="120" w:after="60"/>
        <w:outlineLvl w:val="1"/>
        <w:rPr>
          <w:rFonts w:ascii="Arial" w:hAnsi="Arial" w:cs="Arial"/>
          <w:sz w:val="22"/>
          <w:szCs w:val="28"/>
        </w:rPr>
      </w:pPr>
      <w:r>
        <w:rPr>
          <w:rFonts w:ascii="Arial" w:hAnsi="Arial" w:cs="Arial"/>
          <w:sz w:val="28"/>
          <w:szCs w:val="28"/>
        </w:rPr>
        <w:t>2</w:t>
      </w:r>
      <w:r>
        <w:rPr>
          <w:rFonts w:ascii="Arial" w:hAnsi="Arial" w:cs="Arial"/>
          <w:sz w:val="28"/>
          <w:szCs w:val="28"/>
        </w:rPr>
        <w:t>.2 Power saving and coverage enhancement</w:t>
      </w:r>
    </w:p>
    <w:p w14:paraId="5140589E" w14:textId="1E41DB82" w:rsidR="003650E1" w:rsidRDefault="005D1523">
      <w:pPr>
        <w:snapToGrid w:val="0"/>
        <w:spacing w:beforeLines="50" w:before="156" w:afterLines="50" w:after="156" w:line="276" w:lineRule="auto"/>
        <w:rPr>
          <w:sz w:val="20"/>
          <w:szCs w:val="20"/>
        </w:rPr>
      </w:pPr>
      <w:r>
        <w:rPr>
          <w:sz w:val="20"/>
          <w:szCs w:val="20"/>
        </w:rPr>
        <w:t xml:space="preserve">For power </w:t>
      </w:r>
      <w:r>
        <w:rPr>
          <w:sz w:val="20"/>
          <w:szCs w:val="20"/>
        </w:rPr>
        <w:t xml:space="preserve">saving, there </w:t>
      </w:r>
      <w:r w:rsidR="005D7F68">
        <w:rPr>
          <w:sz w:val="20"/>
          <w:szCs w:val="20"/>
        </w:rPr>
        <w:t xml:space="preserve">is </w:t>
      </w:r>
      <w:r>
        <w:rPr>
          <w:sz w:val="20"/>
          <w:szCs w:val="20"/>
        </w:rPr>
        <w:t>ongoing discussion in another email</w:t>
      </w:r>
      <w:r w:rsidR="005D7F68">
        <w:rPr>
          <w:sz w:val="20"/>
          <w:szCs w:val="20"/>
        </w:rPr>
        <w:t xml:space="preserve"> thread</w:t>
      </w:r>
      <w:r>
        <w:rPr>
          <w:sz w:val="20"/>
          <w:szCs w:val="20"/>
        </w:rPr>
        <w:t xml:space="preserve">, i.e. power saving email discussion. Generally, the solutions specified in power saving WI can be applicable to both normal NR UEs and NR Light UEs. Rel-17 NR light </w:t>
      </w:r>
      <w:r w:rsidR="005D7F68">
        <w:rPr>
          <w:sz w:val="20"/>
          <w:szCs w:val="20"/>
        </w:rPr>
        <w:t>item</w:t>
      </w:r>
      <w:r>
        <w:rPr>
          <w:sz w:val="20"/>
          <w:szCs w:val="20"/>
        </w:rPr>
        <w:t xml:space="preserve"> should avoid studying </w:t>
      </w:r>
      <w:r>
        <w:rPr>
          <w:sz w:val="20"/>
          <w:szCs w:val="20"/>
        </w:rPr>
        <w:t>power saving solutions that may overlap with the studies in power saving WI, e.g., UE power saving in RRC Idle/Inactive</w:t>
      </w:r>
      <w:r>
        <w:rPr>
          <w:rFonts w:hint="eastAsia"/>
          <w:sz w:val="20"/>
          <w:szCs w:val="20"/>
        </w:rPr>
        <w:t xml:space="preserve"> and power saving for </w:t>
      </w:r>
      <w:r>
        <w:rPr>
          <w:sz w:val="20"/>
          <w:szCs w:val="20"/>
        </w:rPr>
        <w:t>stationary</w:t>
      </w:r>
      <w:r>
        <w:rPr>
          <w:rFonts w:hint="eastAsia"/>
          <w:sz w:val="20"/>
          <w:szCs w:val="20"/>
        </w:rPr>
        <w:t>/</w:t>
      </w:r>
      <w:r>
        <w:rPr>
          <w:sz w:val="20"/>
          <w:szCs w:val="20"/>
        </w:rPr>
        <w:t xml:space="preserve">limited mobility devices. </w:t>
      </w:r>
      <w:r>
        <w:rPr>
          <w:sz w:val="20"/>
          <w:szCs w:val="20"/>
        </w:rPr>
        <w:t xml:space="preserve">If necessary, </w:t>
      </w:r>
      <w:r>
        <w:rPr>
          <w:sz w:val="20"/>
          <w:szCs w:val="20"/>
        </w:rPr>
        <w:t xml:space="preserve">NR light </w:t>
      </w:r>
      <w:r w:rsidR="005D7F68">
        <w:rPr>
          <w:sz w:val="20"/>
          <w:szCs w:val="20"/>
        </w:rPr>
        <w:t>item</w:t>
      </w:r>
      <w:r w:rsidR="005D7F68">
        <w:rPr>
          <w:sz w:val="20"/>
          <w:szCs w:val="20"/>
        </w:rPr>
        <w:t xml:space="preserve"> </w:t>
      </w:r>
      <w:r w:rsidR="006C346D">
        <w:rPr>
          <w:sz w:val="20"/>
          <w:szCs w:val="20"/>
        </w:rPr>
        <w:t>may</w:t>
      </w:r>
      <w:r w:rsidR="006C346D">
        <w:rPr>
          <w:sz w:val="20"/>
          <w:szCs w:val="20"/>
        </w:rPr>
        <w:t xml:space="preserve"> </w:t>
      </w:r>
      <w:r>
        <w:rPr>
          <w:sz w:val="20"/>
          <w:szCs w:val="20"/>
        </w:rPr>
        <w:t>study power saving solution dedicated for</w:t>
      </w:r>
      <w:r>
        <w:rPr>
          <w:sz w:val="20"/>
          <w:szCs w:val="20"/>
          <w:lang w:eastAsia="ja-JP"/>
        </w:rPr>
        <w:t xml:space="preserve"> NR </w:t>
      </w:r>
      <w:r>
        <w:rPr>
          <w:sz w:val="20"/>
          <w:szCs w:val="20"/>
        </w:rPr>
        <w:t>L</w:t>
      </w:r>
      <w:r>
        <w:rPr>
          <w:sz w:val="20"/>
          <w:szCs w:val="20"/>
          <w:lang w:eastAsia="ja-JP"/>
        </w:rPr>
        <w:t>ight</w:t>
      </w:r>
      <w:r>
        <w:rPr>
          <w:sz w:val="20"/>
          <w:szCs w:val="20"/>
        </w:rPr>
        <w:t>. However, due to limited TUs for NR light, it is proposed power saving is not considered in Rel-17 NR Light.</w:t>
      </w:r>
    </w:p>
    <w:p w14:paraId="2C94781F" w14:textId="77777777" w:rsidR="003650E1" w:rsidRDefault="005D1523">
      <w:pPr>
        <w:snapToGrid w:val="0"/>
        <w:spacing w:beforeLines="50" w:before="156" w:afterLines="50" w:after="156" w:line="276" w:lineRule="auto"/>
        <w:rPr>
          <w:sz w:val="20"/>
          <w:szCs w:val="20"/>
        </w:rPr>
      </w:pPr>
      <w:r>
        <w:rPr>
          <w:rFonts w:hint="eastAsia"/>
          <w:sz w:val="20"/>
          <w:szCs w:val="20"/>
        </w:rPr>
        <w:t>For coverage enh</w:t>
      </w:r>
      <w:r>
        <w:rPr>
          <w:sz w:val="20"/>
          <w:szCs w:val="20"/>
        </w:rPr>
        <w:t>a</w:t>
      </w:r>
      <w:r>
        <w:rPr>
          <w:rFonts w:hint="eastAsia"/>
          <w:sz w:val="20"/>
          <w:szCs w:val="20"/>
        </w:rPr>
        <w:t xml:space="preserve">ncement, </w:t>
      </w:r>
      <w:r>
        <w:rPr>
          <w:sz w:val="20"/>
          <w:szCs w:val="20"/>
        </w:rPr>
        <w:t xml:space="preserve">majority solutions studied in coverage enhancement SI </w:t>
      </w:r>
      <w:r>
        <w:rPr>
          <w:rFonts w:hint="eastAsia"/>
          <w:sz w:val="20"/>
          <w:szCs w:val="20"/>
        </w:rPr>
        <w:t>can be applied to all UE</w:t>
      </w:r>
      <w:r>
        <w:rPr>
          <w:sz w:val="20"/>
          <w:szCs w:val="20"/>
        </w:rPr>
        <w:t xml:space="preserve"> categories</w:t>
      </w:r>
      <w:r>
        <w:rPr>
          <w:rFonts w:hint="eastAsia"/>
          <w:sz w:val="20"/>
          <w:szCs w:val="20"/>
        </w:rPr>
        <w:t>.</w:t>
      </w:r>
      <w:r>
        <w:rPr>
          <w:sz w:val="20"/>
          <w:szCs w:val="20"/>
        </w:rPr>
        <w:t xml:space="preserve"> I</w:t>
      </w:r>
      <w:r>
        <w:rPr>
          <w:rFonts w:hint="eastAsia"/>
          <w:sz w:val="20"/>
          <w:szCs w:val="20"/>
        </w:rPr>
        <w:t>n order to avoid overla</w:t>
      </w:r>
      <w:r>
        <w:rPr>
          <w:rFonts w:hint="eastAsia"/>
          <w:sz w:val="20"/>
          <w:szCs w:val="20"/>
        </w:rPr>
        <w:t xml:space="preserve">pping with </w:t>
      </w:r>
      <w:r>
        <w:rPr>
          <w:sz w:val="20"/>
          <w:szCs w:val="20"/>
        </w:rPr>
        <w:t xml:space="preserve">studies in </w:t>
      </w:r>
      <w:r>
        <w:rPr>
          <w:rFonts w:hint="eastAsia"/>
          <w:sz w:val="20"/>
          <w:szCs w:val="20"/>
        </w:rPr>
        <w:t>coverage enh</w:t>
      </w:r>
      <w:r>
        <w:rPr>
          <w:sz w:val="20"/>
          <w:szCs w:val="20"/>
        </w:rPr>
        <w:t>a</w:t>
      </w:r>
      <w:r>
        <w:rPr>
          <w:rFonts w:hint="eastAsia"/>
          <w:sz w:val="20"/>
          <w:szCs w:val="20"/>
        </w:rPr>
        <w:t>ncement SI, coverage enh</w:t>
      </w:r>
      <w:r>
        <w:rPr>
          <w:sz w:val="20"/>
          <w:szCs w:val="20"/>
        </w:rPr>
        <w:t>a</w:t>
      </w:r>
      <w:r>
        <w:rPr>
          <w:rFonts w:hint="eastAsia"/>
          <w:sz w:val="20"/>
          <w:szCs w:val="20"/>
        </w:rPr>
        <w:t xml:space="preserve">ncement is not considered in </w:t>
      </w:r>
      <w:r>
        <w:rPr>
          <w:sz w:val="20"/>
          <w:szCs w:val="20"/>
        </w:rPr>
        <w:t xml:space="preserve">Rel-17 </w:t>
      </w:r>
      <w:r>
        <w:rPr>
          <w:rFonts w:hint="eastAsia"/>
          <w:sz w:val="20"/>
          <w:szCs w:val="20"/>
        </w:rPr>
        <w:t>NR light.</w:t>
      </w:r>
    </w:p>
    <w:p w14:paraId="56D1051E" w14:textId="77777777" w:rsidR="005D7F68" w:rsidRPr="005D7F68" w:rsidRDefault="005D7F68">
      <w:pPr>
        <w:snapToGrid w:val="0"/>
        <w:spacing w:beforeLines="50" w:before="156" w:afterLines="50" w:after="156" w:line="276" w:lineRule="auto"/>
        <w:rPr>
          <w:sz w:val="20"/>
          <w:szCs w:val="20"/>
        </w:rPr>
      </w:pPr>
      <w:r>
        <w:rPr>
          <w:sz w:val="20"/>
          <w:szCs w:val="20"/>
        </w:rPr>
        <w:t>What NR Light study should first do in the aspects of power saving and cover enhancements is to i</w:t>
      </w:r>
      <w:r w:rsidRPr="005D7F68">
        <w:rPr>
          <w:sz w:val="20"/>
          <w:szCs w:val="20"/>
        </w:rPr>
        <w:t>dentify mandatory support of the existing features for coverage recovery and power saving.</w:t>
      </w:r>
      <w:r>
        <w:rPr>
          <w:sz w:val="20"/>
          <w:szCs w:val="20"/>
        </w:rPr>
        <w:t xml:space="preserve">  </w:t>
      </w:r>
      <w:r w:rsidR="00402FC1">
        <w:rPr>
          <w:sz w:val="20"/>
          <w:szCs w:val="20"/>
        </w:rPr>
        <w:t xml:space="preserve">For example, if a NR Light UE has reduced number of UE antennas, it is mandatory for the UE to support certain techniques (e.g. repetition) which can compensate the coverage loss due to reduced number of antennas.   </w:t>
      </w:r>
    </w:p>
    <w:p w14:paraId="2BBE3128" w14:textId="5F8ECDFF" w:rsidR="003650E1" w:rsidRDefault="005D1523">
      <w:pPr>
        <w:snapToGrid w:val="0"/>
        <w:spacing w:beforeLines="50" w:before="156" w:afterLines="50" w:after="156" w:line="276" w:lineRule="auto"/>
        <w:rPr>
          <w:sz w:val="20"/>
          <w:szCs w:val="20"/>
        </w:rPr>
      </w:pPr>
      <w:r>
        <w:rPr>
          <w:sz w:val="20"/>
          <w:szCs w:val="20"/>
        </w:rPr>
        <w:t>According to the above discussion</w:t>
      </w:r>
      <w:r>
        <w:rPr>
          <w:sz w:val="20"/>
          <w:szCs w:val="20"/>
        </w:rPr>
        <w:t>, we have the following proposal:</w:t>
      </w:r>
    </w:p>
    <w:p w14:paraId="3A709C88" w14:textId="0481A7F0" w:rsidR="003650E1" w:rsidRDefault="005D1523">
      <w:pPr>
        <w:numPr>
          <w:ilvl w:val="255"/>
          <w:numId w:val="0"/>
        </w:numPr>
        <w:snapToGrid w:val="0"/>
        <w:spacing w:beforeLines="50" w:before="156" w:afterLines="100" w:after="312" w:line="276" w:lineRule="auto"/>
        <w:rPr>
          <w:b/>
          <w:bCs/>
          <w:i/>
          <w:iCs/>
          <w:sz w:val="20"/>
          <w:szCs w:val="20"/>
        </w:rPr>
      </w:pPr>
      <w:r>
        <w:rPr>
          <w:b/>
          <w:bCs/>
          <w:i/>
          <w:iCs/>
          <w:sz w:val="20"/>
          <w:szCs w:val="20"/>
        </w:rPr>
        <w:t xml:space="preserve">Proposal </w:t>
      </w:r>
      <w:r w:rsidR="00183EEB">
        <w:rPr>
          <w:b/>
          <w:bCs/>
          <w:i/>
          <w:iCs/>
          <w:sz w:val="20"/>
          <w:szCs w:val="20"/>
        </w:rPr>
        <w:t>4</w:t>
      </w:r>
      <w:r>
        <w:rPr>
          <w:b/>
          <w:bCs/>
          <w:i/>
          <w:iCs/>
          <w:sz w:val="20"/>
          <w:szCs w:val="20"/>
        </w:rPr>
        <w:t xml:space="preserve">: </w:t>
      </w:r>
      <w:r w:rsidR="00402FC1" w:rsidRPr="00402FC1">
        <w:rPr>
          <w:b/>
          <w:bCs/>
          <w:i/>
          <w:iCs/>
          <w:sz w:val="20"/>
          <w:szCs w:val="20"/>
        </w:rPr>
        <w:t xml:space="preserve">Identify mandatory support </w:t>
      </w:r>
      <w:r w:rsidR="006C346D">
        <w:rPr>
          <w:b/>
          <w:bCs/>
          <w:i/>
          <w:iCs/>
          <w:sz w:val="20"/>
          <w:szCs w:val="20"/>
        </w:rPr>
        <w:t>of the existing features on</w:t>
      </w:r>
      <w:r w:rsidR="00402FC1" w:rsidRPr="00402FC1">
        <w:rPr>
          <w:b/>
          <w:bCs/>
          <w:i/>
          <w:iCs/>
          <w:sz w:val="20"/>
          <w:szCs w:val="20"/>
        </w:rPr>
        <w:t xml:space="preserve"> coverage recovery and power saving</w:t>
      </w:r>
      <w:r w:rsidR="006C346D">
        <w:rPr>
          <w:b/>
          <w:bCs/>
          <w:i/>
          <w:iCs/>
          <w:sz w:val="20"/>
          <w:szCs w:val="20"/>
        </w:rPr>
        <w:t xml:space="preserve"> for NR Light UEs</w:t>
      </w:r>
      <w:r w:rsidR="00402FC1">
        <w:rPr>
          <w:b/>
          <w:bCs/>
          <w:i/>
          <w:iCs/>
          <w:sz w:val="20"/>
          <w:szCs w:val="20"/>
        </w:rPr>
        <w:t xml:space="preserve">. </w:t>
      </w:r>
      <w:r>
        <w:rPr>
          <w:b/>
          <w:bCs/>
          <w:i/>
          <w:iCs/>
          <w:sz w:val="20"/>
          <w:szCs w:val="20"/>
        </w:rPr>
        <w:t>Power saving and coverage enhancement</w:t>
      </w:r>
      <w:r w:rsidR="00402FC1">
        <w:rPr>
          <w:b/>
          <w:bCs/>
          <w:i/>
          <w:iCs/>
          <w:sz w:val="20"/>
          <w:szCs w:val="20"/>
        </w:rPr>
        <w:t>s</w:t>
      </w:r>
      <w:r>
        <w:rPr>
          <w:b/>
          <w:bCs/>
          <w:i/>
          <w:iCs/>
          <w:sz w:val="20"/>
          <w:szCs w:val="20"/>
        </w:rPr>
        <w:t xml:space="preserve"> are not considered in Rel-17 NR </w:t>
      </w:r>
      <w:r>
        <w:rPr>
          <w:b/>
          <w:bCs/>
          <w:i/>
          <w:iCs/>
          <w:sz w:val="20"/>
          <w:szCs w:val="20"/>
        </w:rPr>
        <w:t>Light.</w:t>
      </w:r>
      <w:r w:rsidR="00402FC1">
        <w:rPr>
          <w:b/>
          <w:bCs/>
          <w:i/>
          <w:iCs/>
          <w:sz w:val="20"/>
          <w:szCs w:val="20"/>
        </w:rPr>
        <w:t xml:space="preserve"> </w:t>
      </w:r>
    </w:p>
    <w:p w14:paraId="0D31CE73" w14:textId="77777777" w:rsidR="003650E1" w:rsidRDefault="005D1523">
      <w:pPr>
        <w:snapToGrid w:val="0"/>
        <w:spacing w:before="240" w:after="180"/>
        <w:outlineLvl w:val="0"/>
        <w:rPr>
          <w:rFonts w:ascii="Arial" w:hAnsi="Arial" w:cs="Arial"/>
          <w:sz w:val="32"/>
          <w:szCs w:val="40"/>
        </w:rPr>
      </w:pPr>
      <w:r>
        <w:rPr>
          <w:rFonts w:ascii="Arial" w:hAnsi="Arial" w:cs="Arial"/>
          <w:sz w:val="32"/>
          <w:szCs w:val="40"/>
        </w:rPr>
        <w:t>3 Conclusion</w:t>
      </w:r>
    </w:p>
    <w:p w14:paraId="4AC9B85D" w14:textId="77777777" w:rsidR="003650E1" w:rsidRDefault="005D1523">
      <w:pPr>
        <w:pStyle w:val="a4"/>
        <w:snapToGrid w:val="0"/>
        <w:spacing w:beforeLines="50" w:before="156" w:afterLines="50" w:after="156" w:line="276" w:lineRule="auto"/>
        <w:rPr>
          <w:rFonts w:ascii="Times New Roman" w:hAnsi="Times New Roman"/>
          <w:sz w:val="20"/>
          <w:szCs w:val="21"/>
        </w:rPr>
      </w:pPr>
      <w:r>
        <w:rPr>
          <w:rFonts w:ascii="Times New Roman" w:hAnsi="Times New Roman"/>
          <w:sz w:val="20"/>
          <w:szCs w:val="21"/>
        </w:rPr>
        <w:t>In this contribution, we have presented some considerations on NR Light. The following proposals are given:</w:t>
      </w:r>
    </w:p>
    <w:p w14:paraId="4A11926F" w14:textId="77777777" w:rsidR="00E61B83" w:rsidRDefault="00E61B83" w:rsidP="00E61B83">
      <w:pPr>
        <w:snapToGrid w:val="0"/>
        <w:spacing w:beforeLines="50" w:before="156" w:afterLines="50" w:after="156" w:line="276" w:lineRule="auto"/>
        <w:rPr>
          <w:b/>
          <w:bCs/>
          <w:i/>
          <w:iCs/>
          <w:sz w:val="20"/>
          <w:szCs w:val="20"/>
        </w:rPr>
      </w:pPr>
      <w:r>
        <w:rPr>
          <w:b/>
          <w:bCs/>
          <w:i/>
          <w:iCs/>
          <w:sz w:val="20"/>
          <w:szCs w:val="20"/>
        </w:rPr>
        <w:t>Proposal 1: A study phase or SI is needed for Rel-17 NR Light. </w:t>
      </w:r>
    </w:p>
    <w:p w14:paraId="1F2B9839" w14:textId="77777777" w:rsidR="00E61B83" w:rsidRDefault="00E61B83" w:rsidP="00E61B83">
      <w:pPr>
        <w:snapToGrid w:val="0"/>
        <w:spacing w:beforeLines="50" w:before="156" w:afterLines="50" w:after="156" w:line="276" w:lineRule="auto"/>
        <w:rPr>
          <w:b/>
          <w:bCs/>
          <w:i/>
          <w:iCs/>
          <w:sz w:val="20"/>
          <w:szCs w:val="20"/>
        </w:rPr>
      </w:pPr>
      <w:r>
        <w:rPr>
          <w:b/>
          <w:bCs/>
          <w:i/>
          <w:iCs/>
          <w:sz w:val="20"/>
          <w:szCs w:val="20"/>
        </w:rPr>
        <w:t>Proposal 2: Add the following objective to the WID to make it clear that cost analysis and evaluation of complexity-performance trade-off are performed.</w:t>
      </w:r>
    </w:p>
    <w:p w14:paraId="667B8BC3" w14:textId="77777777" w:rsidR="00E61B83" w:rsidRPr="005D7F68" w:rsidRDefault="00E61B83" w:rsidP="00E61B83">
      <w:pPr>
        <w:snapToGrid w:val="0"/>
        <w:spacing w:beforeLines="50" w:before="156" w:afterLines="50" w:after="156" w:line="276" w:lineRule="auto"/>
        <w:ind w:leftChars="100" w:left="210"/>
        <w:rPr>
          <w:b/>
          <w:bCs/>
          <w:i/>
          <w:iCs/>
          <w:sz w:val="20"/>
          <w:szCs w:val="20"/>
        </w:rPr>
      </w:pPr>
      <w:r w:rsidRPr="00E61B83">
        <w:rPr>
          <w:b/>
          <w:i/>
          <w:lang w:eastAsia="ja-JP"/>
        </w:rPr>
        <w:t>Study evaluation methodology and assumptions for the use cases of industrial wireless sensors, video surveillance and wearables.  Perform cost analysis and evaluation of complexity-performance trade-off on the UE features identified reduced complexity for these use cases.  Consider at least the following aspects for evaluation:</w:t>
      </w:r>
    </w:p>
    <w:p w14:paraId="2CAD9580" w14:textId="77777777" w:rsidR="00E61B83" w:rsidRDefault="00E61B83" w:rsidP="00E61B83">
      <w:pPr>
        <w:pStyle w:val="-11"/>
        <w:numPr>
          <w:ilvl w:val="0"/>
          <w:numId w:val="3"/>
        </w:numPr>
        <w:snapToGrid w:val="0"/>
        <w:spacing w:beforeLines="50" w:before="156" w:afterLines="50" w:after="156" w:line="276" w:lineRule="auto"/>
        <w:ind w:left="714" w:right="-96" w:hanging="357"/>
        <w:rPr>
          <w:rFonts w:ascii="Times New Roman" w:hAnsi="Times New Roman"/>
          <w:b/>
          <w:bCs/>
          <w:i/>
          <w:iCs/>
          <w:sz w:val="20"/>
          <w:szCs w:val="20"/>
        </w:rPr>
      </w:pPr>
      <w:r>
        <w:rPr>
          <w:rFonts w:ascii="Times New Roman" w:hAnsi="Times New Roman"/>
          <w:b/>
          <w:bCs/>
          <w:i/>
          <w:iCs/>
          <w:sz w:val="20"/>
          <w:szCs w:val="20"/>
        </w:rPr>
        <w:lastRenderedPageBreak/>
        <w:t xml:space="preserve">UE cost and complexity </w:t>
      </w:r>
    </w:p>
    <w:p w14:paraId="1A4D2B4A" w14:textId="77777777" w:rsidR="00E61B83" w:rsidRDefault="00E61B83" w:rsidP="00E61B83">
      <w:pPr>
        <w:pStyle w:val="-11"/>
        <w:numPr>
          <w:ilvl w:val="0"/>
          <w:numId w:val="3"/>
        </w:numPr>
        <w:snapToGrid w:val="0"/>
        <w:spacing w:beforeLines="50" w:before="156" w:afterLines="50" w:after="156" w:line="276" w:lineRule="auto"/>
        <w:ind w:right="-99"/>
        <w:rPr>
          <w:rFonts w:ascii="Times New Roman" w:hAnsi="Times New Roman"/>
          <w:b/>
          <w:bCs/>
          <w:i/>
          <w:iCs/>
          <w:sz w:val="20"/>
          <w:szCs w:val="20"/>
        </w:rPr>
      </w:pPr>
      <w:r>
        <w:rPr>
          <w:rFonts w:ascii="Times New Roman" w:hAnsi="Times New Roman"/>
          <w:b/>
          <w:bCs/>
          <w:i/>
          <w:iCs/>
          <w:sz w:val="20"/>
          <w:szCs w:val="20"/>
        </w:rPr>
        <w:t>Coverage</w:t>
      </w:r>
    </w:p>
    <w:p w14:paraId="1D827CEB" w14:textId="77777777" w:rsidR="00E61B83" w:rsidRDefault="00E61B83" w:rsidP="00E61B83">
      <w:pPr>
        <w:pStyle w:val="-11"/>
        <w:numPr>
          <w:ilvl w:val="0"/>
          <w:numId w:val="3"/>
        </w:numPr>
        <w:snapToGrid w:val="0"/>
        <w:spacing w:beforeLines="50" w:before="156" w:afterLines="50" w:after="156" w:line="276" w:lineRule="auto"/>
        <w:ind w:right="-99"/>
        <w:rPr>
          <w:rFonts w:ascii="Times New Roman" w:hAnsi="Times New Roman"/>
          <w:b/>
          <w:bCs/>
          <w:i/>
          <w:iCs/>
          <w:sz w:val="20"/>
          <w:szCs w:val="20"/>
        </w:rPr>
      </w:pPr>
      <w:r>
        <w:rPr>
          <w:rFonts w:ascii="Times New Roman" w:hAnsi="Times New Roman"/>
          <w:b/>
          <w:bCs/>
          <w:i/>
          <w:iCs/>
          <w:sz w:val="20"/>
          <w:szCs w:val="20"/>
        </w:rPr>
        <w:t>Spectral efficiency</w:t>
      </w:r>
    </w:p>
    <w:p w14:paraId="31FEFE57" w14:textId="77777777" w:rsidR="00E61B83" w:rsidRDefault="00E61B83" w:rsidP="00E61B83">
      <w:pPr>
        <w:pStyle w:val="-11"/>
        <w:numPr>
          <w:ilvl w:val="0"/>
          <w:numId w:val="3"/>
        </w:numPr>
        <w:snapToGrid w:val="0"/>
        <w:spacing w:beforeLines="50" w:before="156" w:afterLines="50" w:after="156" w:line="276" w:lineRule="auto"/>
        <w:ind w:right="-99"/>
        <w:rPr>
          <w:rFonts w:ascii="Times New Roman" w:hAnsi="Times New Roman"/>
          <w:b/>
          <w:bCs/>
          <w:i/>
          <w:iCs/>
          <w:sz w:val="20"/>
          <w:szCs w:val="20"/>
        </w:rPr>
      </w:pPr>
      <w:r>
        <w:rPr>
          <w:rFonts w:ascii="Times New Roman" w:hAnsi="Times New Roman"/>
          <w:b/>
          <w:bCs/>
          <w:i/>
          <w:iCs/>
          <w:sz w:val="20"/>
          <w:szCs w:val="20"/>
        </w:rPr>
        <w:t>Power consumption</w:t>
      </w:r>
    </w:p>
    <w:p w14:paraId="1E702793" w14:textId="77777777" w:rsidR="00E61B83" w:rsidRDefault="00E61B83" w:rsidP="00E61B83">
      <w:pPr>
        <w:pStyle w:val="-11"/>
        <w:numPr>
          <w:ilvl w:val="0"/>
          <w:numId w:val="3"/>
        </w:numPr>
        <w:snapToGrid w:val="0"/>
        <w:spacing w:beforeLines="50" w:before="156" w:afterLines="50" w:after="156" w:line="276" w:lineRule="auto"/>
        <w:ind w:right="-99"/>
        <w:rPr>
          <w:rFonts w:ascii="Times New Roman" w:hAnsi="Times New Roman"/>
          <w:b/>
          <w:bCs/>
          <w:i/>
          <w:iCs/>
          <w:sz w:val="20"/>
          <w:szCs w:val="20"/>
        </w:rPr>
      </w:pPr>
      <w:r>
        <w:rPr>
          <w:rFonts w:ascii="Times New Roman" w:hAnsi="Times New Roman"/>
          <w:b/>
          <w:bCs/>
          <w:i/>
          <w:iCs/>
          <w:sz w:val="20"/>
          <w:szCs w:val="20"/>
        </w:rPr>
        <w:t>Reliability and latency</w:t>
      </w:r>
    </w:p>
    <w:p w14:paraId="4FAAEF52" w14:textId="77777777" w:rsidR="00E61B83" w:rsidRDefault="00E61B83" w:rsidP="00E61B83">
      <w:pPr>
        <w:pStyle w:val="-11"/>
        <w:numPr>
          <w:ilvl w:val="0"/>
          <w:numId w:val="3"/>
        </w:numPr>
        <w:snapToGrid w:val="0"/>
        <w:spacing w:beforeLines="50" w:before="156" w:afterLines="50" w:after="156" w:line="276" w:lineRule="auto"/>
        <w:rPr>
          <w:rFonts w:ascii="Times New Roman" w:hAnsi="Times New Roman"/>
          <w:b/>
          <w:bCs/>
          <w:i/>
          <w:iCs/>
          <w:sz w:val="20"/>
          <w:szCs w:val="20"/>
        </w:rPr>
      </w:pPr>
      <w:r>
        <w:rPr>
          <w:rFonts w:ascii="Times New Roman" w:hAnsi="Times New Roman"/>
          <w:b/>
          <w:bCs/>
          <w:i/>
          <w:iCs/>
          <w:sz w:val="20"/>
          <w:szCs w:val="20"/>
        </w:rPr>
        <w:t xml:space="preserve">Backward compatibility and coexistence with wideband UE </w:t>
      </w:r>
    </w:p>
    <w:p w14:paraId="6BABEA1D" w14:textId="77777777" w:rsidR="00E61B83" w:rsidRPr="00E61B83" w:rsidRDefault="00E61B83" w:rsidP="00E61B83">
      <w:pPr>
        <w:pStyle w:val="-11"/>
        <w:numPr>
          <w:ilvl w:val="0"/>
          <w:numId w:val="3"/>
        </w:numPr>
        <w:snapToGrid w:val="0"/>
        <w:spacing w:beforeLines="50" w:before="156" w:afterLines="100" w:after="312" w:line="276" w:lineRule="auto"/>
        <w:rPr>
          <w:b/>
          <w:bCs/>
          <w:i/>
          <w:iCs/>
          <w:sz w:val="20"/>
          <w:szCs w:val="20"/>
          <w:lang w:eastAsia="zh-CN"/>
        </w:rPr>
      </w:pPr>
      <w:r>
        <w:rPr>
          <w:rFonts w:ascii="Times New Roman" w:hAnsi="Times New Roman"/>
          <w:b/>
          <w:bCs/>
          <w:i/>
          <w:iCs/>
          <w:sz w:val="20"/>
          <w:szCs w:val="20"/>
        </w:rPr>
        <w:t>Support of high UE density</w:t>
      </w:r>
    </w:p>
    <w:p w14:paraId="3D4145C2" w14:textId="77777777" w:rsidR="00E61B83" w:rsidRPr="00E61B83" w:rsidRDefault="00E61B83" w:rsidP="00E61B83">
      <w:pPr>
        <w:ind w:right="-99"/>
        <w:rPr>
          <w:rFonts w:hint="eastAsia"/>
          <w:b/>
          <w:i/>
          <w:lang w:eastAsia="ja-JP"/>
        </w:rPr>
      </w:pPr>
      <w:r>
        <w:rPr>
          <w:b/>
          <w:bCs/>
          <w:i/>
          <w:iCs/>
          <w:sz w:val="20"/>
          <w:szCs w:val="20"/>
        </w:rPr>
        <w:t xml:space="preserve">Proposal 3: </w:t>
      </w:r>
      <w:r w:rsidRPr="00E61B83">
        <w:rPr>
          <w:b/>
          <w:i/>
          <w:lang w:eastAsia="ja-JP"/>
        </w:rPr>
        <w:t xml:space="preserve">Study UE categories/types/profiles and the corresponding requirements for different use cases of NR Light. </w:t>
      </w:r>
    </w:p>
    <w:p w14:paraId="752462C0" w14:textId="77777777" w:rsidR="00E61B83" w:rsidRDefault="00E61B83" w:rsidP="00E61B83">
      <w:pPr>
        <w:numPr>
          <w:ilvl w:val="255"/>
          <w:numId w:val="0"/>
        </w:numPr>
        <w:snapToGrid w:val="0"/>
        <w:spacing w:beforeLines="50" w:before="156" w:afterLines="100" w:after="312" w:line="276" w:lineRule="auto"/>
        <w:rPr>
          <w:b/>
          <w:bCs/>
          <w:i/>
          <w:iCs/>
          <w:sz w:val="20"/>
          <w:szCs w:val="20"/>
        </w:rPr>
      </w:pPr>
      <w:bookmarkStart w:id="1" w:name="_Ref124589665"/>
      <w:bookmarkStart w:id="2" w:name="_Ref71620620"/>
      <w:bookmarkStart w:id="3" w:name="_Ref124671424"/>
      <w:r>
        <w:rPr>
          <w:b/>
          <w:bCs/>
          <w:i/>
          <w:iCs/>
          <w:sz w:val="20"/>
          <w:szCs w:val="20"/>
        </w:rPr>
        <w:t xml:space="preserve">Proposal 4: </w:t>
      </w:r>
      <w:r w:rsidRPr="00402FC1">
        <w:rPr>
          <w:b/>
          <w:bCs/>
          <w:i/>
          <w:iCs/>
          <w:sz w:val="20"/>
          <w:szCs w:val="20"/>
        </w:rPr>
        <w:t xml:space="preserve">Identify mandatory support </w:t>
      </w:r>
      <w:r>
        <w:rPr>
          <w:b/>
          <w:bCs/>
          <w:i/>
          <w:iCs/>
          <w:sz w:val="20"/>
          <w:szCs w:val="20"/>
        </w:rPr>
        <w:t>of the existing features on</w:t>
      </w:r>
      <w:r w:rsidRPr="00402FC1">
        <w:rPr>
          <w:b/>
          <w:bCs/>
          <w:i/>
          <w:iCs/>
          <w:sz w:val="20"/>
          <w:szCs w:val="20"/>
        </w:rPr>
        <w:t xml:space="preserve"> coverage recovery and power saving</w:t>
      </w:r>
      <w:r>
        <w:rPr>
          <w:b/>
          <w:bCs/>
          <w:i/>
          <w:iCs/>
          <w:sz w:val="20"/>
          <w:szCs w:val="20"/>
        </w:rPr>
        <w:t xml:space="preserve"> for NR Light UEs. Power saving and coverage enhancements are not considered in Rel-17 NR Light. </w:t>
      </w:r>
    </w:p>
    <w:p w14:paraId="5448762D" w14:textId="77777777" w:rsidR="003650E1" w:rsidRDefault="005D1523">
      <w:pPr>
        <w:pStyle w:val="1"/>
        <w:numPr>
          <w:ilvl w:val="0"/>
          <w:numId w:val="0"/>
        </w:numPr>
        <w:snapToGrid w:val="0"/>
      </w:pPr>
      <w:r>
        <w:t>References</w:t>
      </w:r>
    </w:p>
    <w:bookmarkEnd w:id="1"/>
    <w:bookmarkEnd w:id="2"/>
    <w:bookmarkEnd w:id="3"/>
    <w:p w14:paraId="7AEA6EFE" w14:textId="77777777" w:rsidR="002F23E1" w:rsidRPr="002F23E1" w:rsidRDefault="005D1523">
      <w:pPr>
        <w:pStyle w:val="References"/>
        <w:snapToGrid w:val="0"/>
      </w:pPr>
      <w:r>
        <w:t xml:space="preserve">RP-192160, “Summary of Rel-17 email discussion on NR Light”, </w:t>
      </w:r>
      <w:r>
        <w:rPr>
          <w:szCs w:val="20"/>
        </w:rPr>
        <w:t>Ericsson (moderator)</w:t>
      </w:r>
    </w:p>
    <w:p w14:paraId="34951335" w14:textId="16225E8E" w:rsidR="003650E1" w:rsidRDefault="002F23E1" w:rsidP="00E61B83">
      <w:pPr>
        <w:pStyle w:val="References"/>
      </w:pPr>
      <w:r>
        <w:t>TR 36.888, “</w:t>
      </w:r>
      <w:r w:rsidRPr="000B4C1C">
        <w:t>Study on provision of low-cost Machine-Type Communications (MTC) User Equipments (UEs) based on LTE</w:t>
      </w:r>
      <w:r>
        <w:t>”, v12.0.0.</w:t>
      </w:r>
    </w:p>
    <w:p w14:paraId="560EB6D0" w14:textId="77777777" w:rsidR="003650E1" w:rsidRDefault="003650E1">
      <w:pPr>
        <w:snapToGrid w:val="0"/>
      </w:pPr>
    </w:p>
    <w:sectPr w:rsidR="003650E1">
      <w:headerReference w:type="default" r:id="rId9"/>
      <w:footerReference w:type="even" r:id="rId10"/>
      <w:footerReference w:type="default" r:id="rId11"/>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3FC088" w14:textId="77777777" w:rsidR="005D1523" w:rsidRDefault="005D1523">
      <w:r>
        <w:separator/>
      </w:r>
    </w:p>
  </w:endnote>
  <w:endnote w:type="continuationSeparator" w:id="0">
    <w:p w14:paraId="07656C55" w14:textId="77777777" w:rsidR="005D1523" w:rsidRDefault="005D1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8B11BC" w14:textId="77777777" w:rsidR="003650E1" w:rsidRDefault="005D1523">
    <w:pPr>
      <w:pStyle w:val="a6"/>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0E343E14" w14:textId="77777777" w:rsidR="003650E1" w:rsidRDefault="003650E1">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6EE64" w14:textId="77777777" w:rsidR="003650E1" w:rsidRDefault="003650E1">
    <w:pPr>
      <w:pStyle w:val="a6"/>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890A48" w14:textId="77777777" w:rsidR="005D1523" w:rsidRDefault="005D1523">
      <w:r>
        <w:separator/>
      </w:r>
    </w:p>
  </w:footnote>
  <w:footnote w:type="continuationSeparator" w:id="0">
    <w:p w14:paraId="45218E64" w14:textId="77777777" w:rsidR="005D1523" w:rsidRDefault="005D15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4F002" w14:textId="77777777" w:rsidR="003650E1" w:rsidRDefault="003650E1">
    <w:pPr>
      <w:jc w:val="distribu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355F40A9"/>
    <w:multiLevelType w:val="multilevel"/>
    <w:tmpl w:val="355F40A9"/>
    <w:lvl w:ilvl="0">
      <w:start w:val="1"/>
      <w:numFmt w:val="bullet"/>
      <w:lvlText w:val=""/>
      <w:lvlJc w:val="left"/>
      <w:pPr>
        <w:ind w:left="720" w:hanging="360"/>
      </w:pPr>
      <w:rPr>
        <w:rFonts w:ascii="Wingdings" w:hAnsi="Wingdings" w:hint="default"/>
        <w:sz w:val="2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nsid w:val="40DB5F10"/>
    <w:multiLevelType w:val="multilevel"/>
    <w:tmpl w:val="40DB5F10"/>
    <w:lvl w:ilvl="0">
      <w:start w:val="1"/>
      <w:numFmt w:val="bullet"/>
      <w:lvlText w:val=""/>
      <w:lvlJc w:val="left"/>
      <w:pPr>
        <w:ind w:left="720" w:hanging="360"/>
      </w:pPr>
      <w:rPr>
        <w:rFonts w:ascii="Wingdings" w:hAnsi="Wingdings" w:hint="default"/>
        <w:sz w:val="2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92939"/>
    <w:rsid w:val="00126145"/>
    <w:rsid w:val="00133517"/>
    <w:rsid w:val="001726B8"/>
    <w:rsid w:val="00172A27"/>
    <w:rsid w:val="001767E6"/>
    <w:rsid w:val="00183EEB"/>
    <w:rsid w:val="00190A8D"/>
    <w:rsid w:val="001B1F00"/>
    <w:rsid w:val="001B21A1"/>
    <w:rsid w:val="001B2992"/>
    <w:rsid w:val="0021223A"/>
    <w:rsid w:val="00232E67"/>
    <w:rsid w:val="00235BE5"/>
    <w:rsid w:val="00244D42"/>
    <w:rsid w:val="002C0B4D"/>
    <w:rsid w:val="002D35FA"/>
    <w:rsid w:val="002F23E1"/>
    <w:rsid w:val="0031209D"/>
    <w:rsid w:val="00312C1A"/>
    <w:rsid w:val="00312DD1"/>
    <w:rsid w:val="00326160"/>
    <w:rsid w:val="003504B5"/>
    <w:rsid w:val="003650E1"/>
    <w:rsid w:val="003821EA"/>
    <w:rsid w:val="003F58F6"/>
    <w:rsid w:val="00402FC1"/>
    <w:rsid w:val="00413229"/>
    <w:rsid w:val="00425B16"/>
    <w:rsid w:val="004378EC"/>
    <w:rsid w:val="004455F0"/>
    <w:rsid w:val="0046088D"/>
    <w:rsid w:val="00466D35"/>
    <w:rsid w:val="004E1A28"/>
    <w:rsid w:val="004F597E"/>
    <w:rsid w:val="00574EEC"/>
    <w:rsid w:val="005B52CF"/>
    <w:rsid w:val="005D1523"/>
    <w:rsid w:val="005D7F68"/>
    <w:rsid w:val="005F56A6"/>
    <w:rsid w:val="00615CE1"/>
    <w:rsid w:val="00620346"/>
    <w:rsid w:val="00674249"/>
    <w:rsid w:val="00690BB8"/>
    <w:rsid w:val="006B1487"/>
    <w:rsid w:val="006C346D"/>
    <w:rsid w:val="006C60A2"/>
    <w:rsid w:val="006D7CA8"/>
    <w:rsid w:val="006F6A3E"/>
    <w:rsid w:val="00733703"/>
    <w:rsid w:val="00744BC2"/>
    <w:rsid w:val="00771468"/>
    <w:rsid w:val="00793203"/>
    <w:rsid w:val="007C33E4"/>
    <w:rsid w:val="007E771D"/>
    <w:rsid w:val="008478AA"/>
    <w:rsid w:val="00892380"/>
    <w:rsid w:val="00937F60"/>
    <w:rsid w:val="00971DDC"/>
    <w:rsid w:val="0097232F"/>
    <w:rsid w:val="009A2152"/>
    <w:rsid w:val="009B19C8"/>
    <w:rsid w:val="009E2B83"/>
    <w:rsid w:val="009E748B"/>
    <w:rsid w:val="00A155F7"/>
    <w:rsid w:val="00A22250"/>
    <w:rsid w:val="00A4370D"/>
    <w:rsid w:val="00A83126"/>
    <w:rsid w:val="00A95088"/>
    <w:rsid w:val="00AA4053"/>
    <w:rsid w:val="00AC4276"/>
    <w:rsid w:val="00AC4FA4"/>
    <w:rsid w:val="00B12666"/>
    <w:rsid w:val="00B33389"/>
    <w:rsid w:val="00B86043"/>
    <w:rsid w:val="00C50168"/>
    <w:rsid w:val="00D2358A"/>
    <w:rsid w:val="00DA12AB"/>
    <w:rsid w:val="00DB3F8C"/>
    <w:rsid w:val="00DF1D75"/>
    <w:rsid w:val="00E0766A"/>
    <w:rsid w:val="00E153F6"/>
    <w:rsid w:val="00E215C4"/>
    <w:rsid w:val="00E42F2D"/>
    <w:rsid w:val="00E43842"/>
    <w:rsid w:val="00E61B83"/>
    <w:rsid w:val="00E943EE"/>
    <w:rsid w:val="00EE35C8"/>
    <w:rsid w:val="00F37804"/>
    <w:rsid w:val="00F72723"/>
    <w:rsid w:val="00F8074E"/>
    <w:rsid w:val="00FB0A05"/>
    <w:rsid w:val="00FE633D"/>
    <w:rsid w:val="00FF0AAD"/>
    <w:rsid w:val="038C4576"/>
    <w:rsid w:val="05CB7E42"/>
    <w:rsid w:val="074B37BE"/>
    <w:rsid w:val="081D15A8"/>
    <w:rsid w:val="095516BA"/>
    <w:rsid w:val="0973164D"/>
    <w:rsid w:val="09A80D84"/>
    <w:rsid w:val="0CDA7072"/>
    <w:rsid w:val="11791422"/>
    <w:rsid w:val="11C45B86"/>
    <w:rsid w:val="11CE72E1"/>
    <w:rsid w:val="130C2E3A"/>
    <w:rsid w:val="1564430B"/>
    <w:rsid w:val="19B70B54"/>
    <w:rsid w:val="1D5C58E8"/>
    <w:rsid w:val="1F2241C4"/>
    <w:rsid w:val="2232538B"/>
    <w:rsid w:val="22E55F3F"/>
    <w:rsid w:val="240D04DF"/>
    <w:rsid w:val="28845676"/>
    <w:rsid w:val="2EC37A28"/>
    <w:rsid w:val="32E36173"/>
    <w:rsid w:val="413B550C"/>
    <w:rsid w:val="429972F0"/>
    <w:rsid w:val="42B40094"/>
    <w:rsid w:val="43D97425"/>
    <w:rsid w:val="443B26CD"/>
    <w:rsid w:val="44C70D28"/>
    <w:rsid w:val="450A3EA0"/>
    <w:rsid w:val="451440DE"/>
    <w:rsid w:val="4531061D"/>
    <w:rsid w:val="45B50002"/>
    <w:rsid w:val="47477855"/>
    <w:rsid w:val="4A56286D"/>
    <w:rsid w:val="4AA00F1B"/>
    <w:rsid w:val="4B4D150A"/>
    <w:rsid w:val="4F981589"/>
    <w:rsid w:val="50FB5145"/>
    <w:rsid w:val="51C978E7"/>
    <w:rsid w:val="52F23E0A"/>
    <w:rsid w:val="577021C4"/>
    <w:rsid w:val="57951BC6"/>
    <w:rsid w:val="58326D44"/>
    <w:rsid w:val="58B96D8E"/>
    <w:rsid w:val="59F7199D"/>
    <w:rsid w:val="60492A5E"/>
    <w:rsid w:val="615E1F54"/>
    <w:rsid w:val="61D3276E"/>
    <w:rsid w:val="68544AF8"/>
    <w:rsid w:val="69797C2C"/>
    <w:rsid w:val="6B334297"/>
    <w:rsid w:val="6D2B7007"/>
    <w:rsid w:val="6D794932"/>
    <w:rsid w:val="6DD12837"/>
    <w:rsid w:val="6E065104"/>
    <w:rsid w:val="6E1756DB"/>
    <w:rsid w:val="6FDE263C"/>
    <w:rsid w:val="740D0B9D"/>
    <w:rsid w:val="75FA0454"/>
    <w:rsid w:val="772971F7"/>
    <w:rsid w:val="7B8843A1"/>
    <w:rsid w:val="7E5955BD"/>
    <w:rsid w:val="7F0C33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5280BC"/>
  <w15:docId w15:val="{78A98CE9-F3A1-49E1-8ABB-F6969E0EA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宋体"/>
      <w:kern w:val="2"/>
      <w:sz w:val="21"/>
      <w:szCs w:val="24"/>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2">
    <w:name w:val="heading 2"/>
    <w:basedOn w:val="1"/>
    <w:next w:val="a"/>
    <w:qFormat/>
    <w:pPr>
      <w:pBdr>
        <w:top w:val="none" w:sz="0" w:space="0" w:color="auto"/>
      </w:pBdr>
      <w:spacing w:before="180"/>
      <w:outlineLvl w:val="1"/>
    </w:pPr>
    <w:rPr>
      <w:sz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style>
  <w:style w:type="paragraph" w:styleId="a4">
    <w:name w:val="Body Text"/>
    <w:basedOn w:val="a"/>
    <w:qFormat/>
    <w:pPr>
      <w:spacing w:after="120"/>
    </w:pPr>
    <w:rPr>
      <w:rFonts w:ascii="Arial" w:hAnsi="Arial"/>
    </w:rPr>
  </w:style>
  <w:style w:type="paragraph" w:styleId="a5">
    <w:name w:val="Balloon Text"/>
    <w:basedOn w:val="a"/>
    <w:link w:val="Char"/>
    <w:uiPriority w:val="99"/>
    <w:unhideWhenUsed/>
    <w:qFormat/>
    <w:rPr>
      <w:sz w:val="18"/>
      <w:szCs w:val="18"/>
    </w:rPr>
  </w:style>
  <w:style w:type="paragraph" w:styleId="a6">
    <w:name w:val="footer"/>
    <w:basedOn w:val="a"/>
    <w:semiHidden/>
    <w:qFormat/>
    <w:pPr>
      <w:tabs>
        <w:tab w:val="center" w:pos="4153"/>
        <w:tab w:val="right" w:pos="8306"/>
      </w:tabs>
      <w:snapToGrid w:val="0"/>
      <w:jc w:val="left"/>
    </w:pPr>
    <w:rPr>
      <w:sz w:val="18"/>
      <w:szCs w:val="18"/>
    </w:rPr>
  </w:style>
  <w:style w:type="paragraph" w:styleId="a7">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semiHidden/>
    <w:unhideWhenUsed/>
    <w:qFormat/>
    <w:pPr>
      <w:spacing w:beforeAutospacing="1" w:afterAutospacing="1"/>
      <w:jc w:val="left"/>
    </w:pPr>
    <w:rPr>
      <w:kern w:val="0"/>
      <w:sz w:val="24"/>
    </w:rPr>
  </w:style>
  <w:style w:type="character" w:styleId="a9">
    <w:name w:val="page number"/>
    <w:basedOn w:val="a0"/>
    <w:semiHidden/>
    <w:qFormat/>
  </w:style>
  <w:style w:type="character" w:styleId="aa">
    <w:name w:val="annotation reference"/>
    <w:semiHidden/>
    <w:qFormat/>
    <w:rPr>
      <w:sz w:val="16"/>
      <w:szCs w:val="16"/>
    </w:rPr>
  </w:style>
  <w:style w:type="table" w:styleId="ab">
    <w:name w:val="Table Grid"/>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5"/>
    <w:uiPriority w:val="99"/>
    <w:semiHidden/>
    <w:qFormat/>
    <w:rPr>
      <w:kern w:val="2"/>
      <w:sz w:val="18"/>
      <w:szCs w:val="18"/>
    </w:rPr>
  </w:style>
  <w:style w:type="paragraph" w:customStyle="1" w:styleId="CRCoverPage">
    <w:name w:val="CR Cover Page"/>
    <w:qFormat/>
    <w:pPr>
      <w:spacing w:after="120"/>
    </w:pPr>
    <w:rPr>
      <w:rFonts w:ascii="Arial" w:hAnsi="Arial"/>
      <w:lang w:val="en-GB" w:eastAsia="en-US"/>
    </w:rPr>
  </w:style>
  <w:style w:type="paragraph" w:customStyle="1" w:styleId="References">
    <w:name w:val="References"/>
    <w:basedOn w:val="a"/>
    <w:qFormat/>
    <w:pPr>
      <w:numPr>
        <w:numId w:val="2"/>
      </w:numPr>
      <w:spacing w:after="60"/>
    </w:pPr>
    <w:rPr>
      <w:sz w:val="20"/>
      <w:szCs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styleId="ac">
    <w:name w:val="List Paragraph"/>
    <w:basedOn w:val="a"/>
    <w:uiPriority w:val="34"/>
    <w:qFormat/>
    <w:pPr>
      <w:ind w:leftChars="400" w:left="840" w:hanging="1440"/>
      <w:jc w:val="left"/>
    </w:pPr>
    <w:rPr>
      <w:rFonts w:ascii="Times" w:eastAsia="Batang" w:hAnsi="Times"/>
      <w:sz w:val="20"/>
      <w:lang w:val="en-GB"/>
    </w:rPr>
  </w:style>
  <w:style w:type="paragraph" w:customStyle="1" w:styleId="-11">
    <w:name w:val="彩色列表 - 着色 11"/>
    <w:basedOn w:val="a"/>
    <w:uiPriority w:val="34"/>
    <w:qFormat/>
    <w:pPr>
      <w:spacing w:line="256" w:lineRule="auto"/>
      <w:ind w:left="720"/>
      <w:contextualSpacing/>
    </w:pPr>
    <w:rPr>
      <w:rFonts w:ascii="Times" w:hAnsi="Times"/>
      <w:sz w:val="22"/>
      <w:lang w:eastAsia="ja-JP"/>
    </w:rPr>
  </w:style>
  <w:style w:type="paragraph" w:customStyle="1" w:styleId="ZT">
    <w:name w:val="ZT"/>
    <w:rsid w:val="002F23E1"/>
    <w:pPr>
      <w:framePr w:wrap="notBeside" w:hAnchor="margin" w:yAlign="center"/>
      <w:widowControl w:val="0"/>
      <w:spacing w:line="240" w:lineRule="atLeast"/>
      <w:jc w:val="right"/>
    </w:pPr>
    <w:rPr>
      <w:rFonts w:ascii="Arial" w:eastAsiaTheme="minorEastAsia"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110112">
      <w:bodyDiv w:val="1"/>
      <w:marLeft w:val="0"/>
      <w:marRight w:val="0"/>
      <w:marTop w:val="0"/>
      <w:marBottom w:val="0"/>
      <w:divBdr>
        <w:top w:val="none" w:sz="0" w:space="0" w:color="auto"/>
        <w:left w:val="none" w:sz="0" w:space="0" w:color="auto"/>
        <w:bottom w:val="none" w:sz="0" w:space="0" w:color="auto"/>
        <w:right w:val="none" w:sz="0" w:space="0" w:color="auto"/>
      </w:divBdr>
      <w:divsChild>
        <w:div w:id="1199199738">
          <w:marLeft w:val="173"/>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71E2CD-0530-473E-A94C-03496BD1D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1085</Words>
  <Characters>6188</Characters>
  <Application>Microsoft Office Word</Application>
  <DocSecurity>0</DocSecurity>
  <Lines>51</Lines>
  <Paragraphs>14</Paragraphs>
  <ScaleCrop>false</ScaleCrop>
  <Company>ZTE</Company>
  <LinksUpToDate>false</LinksUpToDate>
  <CharactersWithSpaces>7259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cp:revision>
  <dcterms:created xsi:type="dcterms:W3CDTF">2019-12-02T19:46:00Z</dcterms:created>
  <dcterms:modified xsi:type="dcterms:W3CDTF">2019-12-02T19:47:00Z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